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3C0D32" w:rsidP="00946804" w:rsidRDefault="00465AC0" w14:paraId="5CFF93F1" w14:textId="4A8271DF">
      <w:pPr>
        <w:jc w:val="center"/>
        <w:rPr>
          <w:rFonts w:ascii="Arial" w:hAnsi="Arial" w:cs="Arial"/>
        </w:rPr>
      </w:pPr>
      <w:r>
        <w:rPr>
          <w:rFonts w:ascii="Arial" w:hAnsi="Arial" w:cs="Arial"/>
          <w:noProof/>
          <w:sz w:val="28"/>
          <w:szCs w:val="32"/>
        </w:rPr>
        <w:drawing>
          <wp:anchor distT="0" distB="0" distL="114300" distR="114300" simplePos="0" relativeHeight="251659264" behindDoc="0" locked="0" layoutInCell="1" allowOverlap="1" wp14:anchorId="4FC83F26" wp14:editId="1A3C8FB0">
            <wp:simplePos x="0" y="0"/>
            <wp:positionH relativeFrom="column">
              <wp:posOffset>5121730</wp:posOffset>
            </wp:positionH>
            <wp:positionV relativeFrom="paragraph">
              <wp:posOffset>285307</wp:posOffset>
            </wp:positionV>
            <wp:extent cx="1802921" cy="340691"/>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921" cy="340691"/>
                    </a:xfrm>
                    <a:prstGeom prst="rect">
                      <a:avLst/>
                    </a:prstGeom>
                    <a:noFill/>
                    <a:ln>
                      <a:noFill/>
                    </a:ln>
                  </pic:spPr>
                </pic:pic>
              </a:graphicData>
            </a:graphic>
          </wp:anchor>
        </w:drawing>
      </w:r>
      <w:r w:rsidR="005D15AB">
        <w:rPr>
          <w:rFonts w:ascii="Arial" w:hAnsi="Arial" w:cs="Arial"/>
          <w:noProof/>
          <w:sz w:val="28"/>
          <w:szCs w:val="32"/>
          <w:lang w:eastAsia="en-GB"/>
        </w:rPr>
        <w:drawing>
          <wp:anchor distT="0" distB="0" distL="114300" distR="114300" simplePos="0" relativeHeight="251658240" behindDoc="0" locked="0" layoutInCell="1" allowOverlap="1" wp14:anchorId="670D2E95" wp14:editId="1924EC0E">
            <wp:simplePos x="0" y="0"/>
            <wp:positionH relativeFrom="column">
              <wp:posOffset>5080</wp:posOffset>
            </wp:positionH>
            <wp:positionV relativeFrom="paragraph">
              <wp:posOffset>20955</wp:posOffset>
            </wp:positionV>
            <wp:extent cx="1432560" cy="647700"/>
            <wp:effectExtent l="0" t="0" r="0" b="0"/>
            <wp:wrapNone/>
            <wp:docPr id="1" name="Picture 1" descr="P:\David\Logos\Nexus-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vid\Logos\Nexus-Logo.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FFE">
        <w:rPr>
          <w:rFonts w:ascii="Arial" w:hAnsi="Arial" w:cs="Arial"/>
          <w:sz w:val="28"/>
          <w:szCs w:val="32"/>
        </w:rPr>
        <w:t xml:space="preserve"> </w:t>
      </w:r>
      <w:r w:rsidR="00E41D25">
        <w:rPr>
          <w:rFonts w:ascii="Arial" w:hAnsi="Arial" w:cs="Arial"/>
          <w:sz w:val="28"/>
          <w:szCs w:val="32"/>
        </w:rPr>
        <w:br/>
      </w:r>
      <w:r w:rsidRPr="005D15AB" w:rsidR="00946804">
        <w:rPr>
          <w:rFonts w:ascii="Arial" w:hAnsi="Arial" w:cs="Arial"/>
          <w:b/>
          <w:color w:val="002060"/>
          <w:sz w:val="40"/>
          <w:szCs w:val="32"/>
        </w:rPr>
        <w:t xml:space="preserve">First </w:t>
      </w:r>
      <w:r w:rsidRPr="005D15AB" w:rsidR="00845182">
        <w:rPr>
          <w:rFonts w:ascii="Arial" w:hAnsi="Arial" w:cs="Arial"/>
          <w:b/>
          <w:color w:val="002060"/>
          <w:sz w:val="40"/>
          <w:szCs w:val="32"/>
        </w:rPr>
        <w:t>Place</w:t>
      </w:r>
    </w:p>
    <w:p w:rsidRPr="001C4E9E" w:rsidR="007B2D41" w:rsidRDefault="007B2D41" w14:paraId="0EF1A085" w14:textId="5C3DD0DC">
      <w:pPr>
        <w:rPr>
          <w:rFonts w:ascii="Arial" w:hAnsi="Arial" w:cs="Arial"/>
          <w:color w:val="5B6389"/>
          <w:sz w:val="17"/>
          <w:szCs w:val="17"/>
          <w:lang w:val="en"/>
        </w:rPr>
      </w:pPr>
      <w:r w:rsidRPr="001C4E9E">
        <w:rPr>
          <w:rFonts w:ascii="Arial" w:hAnsi="Arial" w:cs="Arial"/>
        </w:rPr>
        <w:t xml:space="preserve">                                                                                                                        </w:t>
      </w:r>
      <w:r w:rsidRPr="001C4E9E">
        <w:rPr>
          <w:rFonts w:ascii="Arial" w:hAnsi="Arial" w:cs="Arial"/>
          <w:color w:val="5B6389"/>
          <w:sz w:val="17"/>
          <w:szCs w:val="17"/>
          <w:lang w:val="en"/>
        </w:rPr>
        <w:t xml:space="preserve">                  </w:t>
      </w:r>
    </w:p>
    <w:p w:rsidR="007B2D41" w:rsidRDefault="007B2D41" w14:paraId="672A6659" w14:textId="77777777">
      <w:pPr>
        <w:rPr>
          <w:rFonts w:ascii="Arial" w:hAnsi="Arial" w:cs="Arial"/>
        </w:rPr>
      </w:pPr>
    </w:p>
    <w:p w:rsidRPr="001C4E9E" w:rsidR="007B2D41" w:rsidRDefault="007B2D41" w14:paraId="0A37501D" w14:textId="77777777">
      <w:pPr>
        <w:rPr>
          <w:rFonts w:ascii="Arial" w:hAnsi="Arial" w:cs="Arial"/>
        </w:rPr>
      </w:pPr>
    </w:p>
    <w:p w:rsidRPr="003605AD" w:rsidR="001C4E9E" w:rsidP="001C4E9E" w:rsidRDefault="00E50FFE" w14:paraId="0198D6DB" w14:textId="77777777">
      <w:pPr>
        <w:shd w:val="clear" w:color="auto" w:fill="17365D"/>
        <w:rPr>
          <w:rFonts w:ascii="Arial" w:hAnsi="Arial" w:cs="Arial"/>
          <w:b/>
          <w:szCs w:val="26"/>
        </w:rPr>
      </w:pPr>
      <w:r>
        <w:rPr>
          <w:rFonts w:ascii="Arial" w:hAnsi="Arial" w:cs="Arial"/>
          <w:b/>
          <w:szCs w:val="26"/>
        </w:rPr>
        <w:t xml:space="preserve">STA INTERNATIONAL </w:t>
      </w:r>
      <w:r w:rsidR="00946804">
        <w:rPr>
          <w:rFonts w:ascii="Arial" w:hAnsi="Arial" w:cs="Arial"/>
          <w:b/>
          <w:szCs w:val="26"/>
        </w:rPr>
        <w:t xml:space="preserve">SERVICE </w:t>
      </w:r>
      <w:r w:rsidRPr="003605AD" w:rsidR="001C4E9E">
        <w:rPr>
          <w:rFonts w:ascii="Arial" w:hAnsi="Arial" w:cs="Arial"/>
          <w:b/>
          <w:szCs w:val="26"/>
        </w:rPr>
        <w:t>AGREEMENT:</w:t>
      </w:r>
    </w:p>
    <w:p w:rsidR="00E50FFE" w:rsidP="00946804" w:rsidRDefault="00E50FFE" w14:paraId="2C94E8DF" w14:textId="5B2BAFCB">
      <w:pPr>
        <w:spacing w:line="276" w:lineRule="auto"/>
        <w:rPr>
          <w:rFonts w:ascii="Arial" w:hAnsi="Arial" w:cs="Arial"/>
          <w:sz w:val="21"/>
          <w:szCs w:val="21"/>
        </w:rPr>
      </w:pPr>
      <w:r w:rsidRPr="14D9F1BC" w:rsidR="00E50FFE">
        <w:rPr>
          <w:rFonts w:ascii="Arial" w:hAnsi="Arial" w:cs="Arial"/>
          <w:b w:val="1"/>
          <w:bCs w:val="1"/>
          <w:sz w:val="21"/>
          <w:szCs w:val="21"/>
        </w:rPr>
        <w:t>The Client</w:t>
      </w:r>
      <w:r w:rsidRPr="14D9F1BC" w:rsidR="00E50FFE">
        <w:rPr>
          <w:rFonts w:ascii="Arial" w:hAnsi="Arial" w:cs="Arial"/>
          <w:sz w:val="21"/>
          <w:szCs w:val="21"/>
        </w:rPr>
        <w:t xml:space="preserve"> hereby requests </w:t>
      </w:r>
      <w:r w:rsidRPr="14D9F1BC" w:rsidR="00E50FFE">
        <w:rPr>
          <w:rFonts w:ascii="Arial" w:hAnsi="Arial" w:cs="Arial"/>
          <w:b w:val="1"/>
          <w:bCs w:val="1"/>
          <w:sz w:val="21"/>
          <w:szCs w:val="21"/>
        </w:rPr>
        <w:t>STA International</w:t>
      </w:r>
      <w:r w:rsidRPr="14D9F1BC" w:rsidR="00E50FFE">
        <w:rPr>
          <w:rFonts w:ascii="Arial" w:hAnsi="Arial" w:cs="Arial"/>
          <w:sz w:val="21"/>
          <w:szCs w:val="21"/>
        </w:rPr>
        <w:t xml:space="preserve"> provide in consideration of the Applicable Charges the Applicable Collection services below in relation to Referred Debts and </w:t>
      </w:r>
      <w:r w:rsidRPr="14D9F1BC" w:rsidR="00E50FFE">
        <w:rPr>
          <w:rFonts w:ascii="Arial" w:hAnsi="Arial" w:cs="Arial"/>
          <w:b w:val="1"/>
          <w:bCs w:val="1"/>
          <w:sz w:val="21"/>
          <w:szCs w:val="21"/>
        </w:rPr>
        <w:t>STA International</w:t>
      </w:r>
      <w:r w:rsidRPr="14D9F1BC" w:rsidR="00E50FFE">
        <w:rPr>
          <w:rFonts w:ascii="Arial" w:hAnsi="Arial" w:cs="Arial"/>
          <w:sz w:val="21"/>
          <w:szCs w:val="21"/>
        </w:rPr>
        <w:t xml:space="preserve"> hereby agrees to render such Services upon and subject to the Terms and Conditions overleaf. By agreeing with these </w:t>
      </w:r>
      <w:r w:rsidRPr="14D9F1BC" w:rsidR="6C326546">
        <w:rPr>
          <w:rFonts w:ascii="Arial" w:hAnsi="Arial" w:cs="Arial"/>
          <w:sz w:val="21"/>
          <w:szCs w:val="21"/>
        </w:rPr>
        <w:t>terms,</w:t>
      </w:r>
      <w:r w:rsidRPr="14D9F1BC" w:rsidR="00E50FFE">
        <w:rPr>
          <w:rFonts w:ascii="Arial" w:hAnsi="Arial" w:cs="Arial"/>
          <w:sz w:val="21"/>
          <w:szCs w:val="21"/>
        </w:rPr>
        <w:t xml:space="preserve"> </w:t>
      </w:r>
      <w:r w:rsidRPr="14D9F1BC" w:rsidR="00E50FFE">
        <w:rPr>
          <w:rFonts w:ascii="Arial" w:hAnsi="Arial" w:cs="Arial"/>
          <w:b w:val="1"/>
          <w:bCs w:val="1"/>
          <w:sz w:val="21"/>
          <w:szCs w:val="21"/>
        </w:rPr>
        <w:t>The Client</w:t>
      </w:r>
      <w:r w:rsidRPr="14D9F1BC" w:rsidR="00E50FFE">
        <w:rPr>
          <w:rFonts w:ascii="Arial" w:hAnsi="Arial" w:cs="Arial"/>
          <w:sz w:val="21"/>
          <w:szCs w:val="21"/>
        </w:rPr>
        <w:t xml:space="preserve"> hereby confirms it is a </w:t>
      </w:r>
      <w:r w:rsidRPr="14D9F1BC" w:rsidR="00E50FFE">
        <w:rPr>
          <w:rFonts w:ascii="Arial" w:hAnsi="Arial" w:cs="Arial"/>
          <w:sz w:val="21"/>
          <w:szCs w:val="21"/>
        </w:rPr>
        <w:t xml:space="preserve">policyholder of </w:t>
      </w:r>
      <w:r w:rsidRPr="14D9F1BC" w:rsidR="005060E3">
        <w:rPr>
          <w:rFonts w:ascii="Arial" w:hAnsi="Arial" w:cs="Arial"/>
          <w:sz w:val="21"/>
          <w:szCs w:val="21"/>
        </w:rPr>
        <w:t>Nexus Trade Credit</w:t>
      </w:r>
      <w:r w:rsidRPr="14D9F1BC" w:rsidR="00E50FFE">
        <w:rPr>
          <w:rFonts w:ascii="Arial" w:hAnsi="Arial" w:cs="Arial"/>
          <w:sz w:val="21"/>
          <w:szCs w:val="21"/>
        </w:rPr>
        <w:t>.</w:t>
      </w:r>
    </w:p>
    <w:p w:rsidR="00E50FFE" w:rsidP="00946804" w:rsidRDefault="00E50FFE" w14:paraId="5DAB6C7B" w14:textId="77777777">
      <w:pPr>
        <w:spacing w:line="276" w:lineRule="auto"/>
        <w:rPr>
          <w:rFonts w:ascii="Arial" w:hAnsi="Arial" w:cs="Arial"/>
          <w:sz w:val="21"/>
          <w:szCs w:val="21"/>
        </w:rPr>
      </w:pPr>
    </w:p>
    <w:p w:rsidRPr="00E50FFE" w:rsidR="00946804" w:rsidP="639F6186" w:rsidRDefault="00946804" w14:paraId="2CE3BB07" w14:textId="4A462F0E">
      <w:pPr>
        <w:spacing w:line="276" w:lineRule="auto"/>
        <w:rPr>
          <w:rFonts w:ascii="Arial" w:hAnsi="Arial" w:cs="Arial"/>
          <w:b/>
          <w:bCs/>
          <w:sz w:val="20"/>
          <w:szCs w:val="20"/>
        </w:rPr>
      </w:pPr>
      <w:r w:rsidRPr="639F6186">
        <w:rPr>
          <w:rFonts w:ascii="Arial" w:hAnsi="Arial" w:cs="Arial"/>
          <w:b/>
          <w:bCs/>
          <w:sz w:val="20"/>
          <w:szCs w:val="20"/>
        </w:rPr>
        <w:t xml:space="preserve">Dated: </w:t>
      </w:r>
      <w:r w:rsidRPr="639F6186" w:rsidR="2DE133AF">
        <w:rPr>
          <w:rFonts w:ascii="Arial" w:hAnsi="Arial" w:cs="Arial"/>
          <w:b/>
          <w:bCs/>
          <w:sz w:val="20"/>
          <w:szCs w:val="20"/>
        </w:rPr>
        <w:t>2</w:t>
      </w:r>
      <w:r w:rsidR="008A7992">
        <w:rPr>
          <w:rFonts w:ascii="Arial" w:hAnsi="Arial" w:cs="Arial"/>
          <w:b/>
          <w:bCs/>
          <w:sz w:val="20"/>
          <w:szCs w:val="20"/>
        </w:rPr>
        <w:t>2</w:t>
      </w:r>
      <w:r w:rsidRPr="639F6186" w:rsidR="2DE133AF">
        <w:rPr>
          <w:rFonts w:ascii="Arial" w:hAnsi="Arial" w:cs="Arial"/>
          <w:b/>
          <w:bCs/>
          <w:sz w:val="20"/>
          <w:szCs w:val="20"/>
        </w:rPr>
        <w:t>/0</w:t>
      </w:r>
      <w:r w:rsidR="008A7992">
        <w:rPr>
          <w:rFonts w:ascii="Arial" w:hAnsi="Arial" w:cs="Arial"/>
          <w:b/>
          <w:bCs/>
          <w:sz w:val="20"/>
          <w:szCs w:val="20"/>
        </w:rPr>
        <w:t>8</w:t>
      </w:r>
      <w:r w:rsidRPr="639F6186" w:rsidR="2DE133AF">
        <w:rPr>
          <w:rFonts w:ascii="Arial" w:hAnsi="Arial" w:cs="Arial"/>
          <w:b/>
          <w:bCs/>
          <w:sz w:val="20"/>
          <w:szCs w:val="20"/>
        </w:rPr>
        <w:t>/202</w:t>
      </w:r>
      <w:r w:rsidR="008A7992">
        <w:rPr>
          <w:rFonts w:ascii="Arial" w:hAnsi="Arial" w:cs="Arial"/>
          <w:b/>
          <w:bCs/>
          <w:sz w:val="20"/>
          <w:szCs w:val="20"/>
        </w:rPr>
        <w:t>2</w:t>
      </w:r>
    </w:p>
    <w:p w:rsidRPr="006A42BB" w:rsidR="00946804" w:rsidP="00946804" w:rsidRDefault="00E50FFE" w14:paraId="02C7A3A7" w14:textId="7502E204">
      <w:pPr>
        <w:rPr>
          <w:rFonts w:ascii="Arial" w:hAnsi="Arial" w:cs="Arial"/>
          <w:sz w:val="16"/>
          <w:szCs w:val="16"/>
        </w:rPr>
      </w:pPr>
      <w:r>
        <w:rPr>
          <w:rFonts w:ascii="Arial" w:hAnsi="Arial" w:cs="Arial"/>
          <w:b/>
          <w:sz w:val="21"/>
          <w:szCs w:val="21"/>
        </w:rPr>
        <w:br/>
      </w:r>
      <w:r w:rsidRPr="00E50FFE" w:rsidR="00946804">
        <w:rPr>
          <w:rFonts w:ascii="Arial" w:hAnsi="Arial" w:cs="Arial"/>
          <w:b/>
          <w:sz w:val="20"/>
          <w:szCs w:val="20"/>
        </w:rPr>
        <w:t>Parties:</w:t>
      </w:r>
      <w:r>
        <w:rPr>
          <w:rFonts w:ascii="Arial" w:hAnsi="Arial" w:cs="Arial"/>
          <w:b/>
          <w:sz w:val="20"/>
          <w:szCs w:val="20"/>
        </w:rPr>
        <w:t xml:space="preserve"> </w:t>
      </w:r>
      <w:r w:rsidRPr="006A42BB" w:rsidR="00946804">
        <w:rPr>
          <w:rFonts w:ascii="Arial" w:hAnsi="Arial" w:cs="Arial"/>
          <w:b/>
          <w:sz w:val="16"/>
          <w:szCs w:val="16"/>
        </w:rPr>
        <w:t>STA INTERNATIONAL</w:t>
      </w:r>
      <w:r w:rsidRPr="006A42BB" w:rsidR="00946804">
        <w:rPr>
          <w:rFonts w:ascii="Arial" w:hAnsi="Arial" w:cs="Arial"/>
          <w:sz w:val="16"/>
          <w:szCs w:val="16"/>
        </w:rPr>
        <w:t xml:space="preserve"> of </w:t>
      </w:r>
      <w:r w:rsidR="0062062D">
        <w:rPr>
          <w:rFonts w:ascii="Arial" w:hAnsi="Arial" w:cs="Arial"/>
          <w:color w:val="000000"/>
          <w:sz w:val="16"/>
          <w:szCs w:val="16"/>
        </w:rPr>
        <w:t>The Drying Loft, 25/26 Turkey Court, Turkey Mill Business Park, Ashford Road, Maidstone, Kent ME14 5PP</w:t>
      </w:r>
      <w:r w:rsidRPr="006A42BB" w:rsidR="00946804">
        <w:rPr>
          <w:rFonts w:ascii="Arial" w:hAnsi="Arial" w:cs="Arial"/>
          <w:sz w:val="16"/>
          <w:szCs w:val="16"/>
        </w:rPr>
        <w:t xml:space="preserve"> and</w:t>
      </w:r>
      <w:r w:rsidRPr="006A42BB" w:rsidR="00946804">
        <w:rPr>
          <w:rFonts w:ascii="Arial" w:hAnsi="Arial" w:cs="Arial"/>
          <w:b/>
          <w:sz w:val="16"/>
          <w:szCs w:val="16"/>
        </w:rPr>
        <w:t xml:space="preserve"> THE CLIENT</w:t>
      </w:r>
      <w:r w:rsidRPr="006A42BB" w:rsidR="00946804">
        <w:rPr>
          <w:rFonts w:ascii="Arial" w:hAnsi="Arial" w:cs="Arial"/>
          <w:sz w:val="16"/>
          <w:szCs w:val="16"/>
        </w:rPr>
        <w:t xml:space="preserve"> specified below (as defined overleaf)</w:t>
      </w:r>
    </w:p>
    <w:p w:rsidRPr="001C4E9E" w:rsidR="007B2D41" w:rsidRDefault="007B2D41" w14:paraId="02EB378F" w14:textId="77777777">
      <w:pPr>
        <w:jc w:val="both"/>
        <w:rPr>
          <w:rFonts w:ascii="Arial" w:hAnsi="Arial" w:cs="Arial"/>
        </w:rPr>
      </w:pPr>
    </w:p>
    <w:p w:rsidRPr="003605AD" w:rsidR="001C4E9E" w:rsidP="001C4E9E" w:rsidRDefault="00E50FFE" w14:paraId="2925DB68" w14:textId="77777777">
      <w:pPr>
        <w:shd w:val="clear" w:color="auto" w:fill="17365D"/>
        <w:rPr>
          <w:rFonts w:ascii="Arial" w:hAnsi="Arial" w:cs="Arial"/>
          <w:b/>
          <w:szCs w:val="26"/>
        </w:rPr>
      </w:pPr>
      <w:r>
        <w:rPr>
          <w:rFonts w:ascii="Arial" w:hAnsi="Arial" w:cs="Arial"/>
          <w:b/>
          <w:szCs w:val="26"/>
        </w:rPr>
        <w:t xml:space="preserve">THE </w:t>
      </w:r>
      <w:r w:rsidRPr="003605AD" w:rsidR="001C4E9E">
        <w:rPr>
          <w:rFonts w:ascii="Arial" w:hAnsi="Arial" w:cs="Arial"/>
          <w:b/>
          <w:szCs w:val="26"/>
        </w:rPr>
        <w:t>CLIENT DETAILS:</w:t>
      </w:r>
    </w:p>
    <w:tbl>
      <w:tblPr>
        <w:tblW w:w="0" w:type="auto"/>
        <w:jc w:val="center"/>
        <w:tblLook w:val="01E0" w:firstRow="1" w:lastRow="1" w:firstColumn="1" w:lastColumn="1" w:noHBand="0" w:noVBand="0"/>
      </w:tblPr>
      <w:tblGrid>
        <w:gridCol w:w="1979"/>
        <w:gridCol w:w="3411"/>
        <w:gridCol w:w="1285"/>
        <w:gridCol w:w="243"/>
        <w:gridCol w:w="284"/>
        <w:gridCol w:w="447"/>
        <w:gridCol w:w="1701"/>
        <w:gridCol w:w="1269"/>
      </w:tblGrid>
      <w:tr w:rsidRPr="00C20836" w:rsidR="001C4E9E" w:rsidTr="001C4E9E" w14:paraId="12DAB974" w14:textId="77777777">
        <w:trPr>
          <w:trHeight w:val="454"/>
          <w:jc w:val="center"/>
        </w:trPr>
        <w:tc>
          <w:tcPr>
            <w:tcW w:w="1979" w:type="dxa"/>
            <w:vAlign w:val="bottom"/>
          </w:tcPr>
          <w:p w:rsidRPr="003605AD" w:rsidR="001C4E9E" w:rsidP="003F0298" w:rsidRDefault="001C4E9E" w14:paraId="6F864BA3" w14:textId="77777777">
            <w:pPr>
              <w:jc w:val="both"/>
              <w:rPr>
                <w:rFonts w:ascii="Arial" w:hAnsi="Arial" w:cs="Arial"/>
                <w:sz w:val="20"/>
              </w:rPr>
            </w:pPr>
            <w:r w:rsidRPr="003605AD">
              <w:rPr>
                <w:rFonts w:ascii="Arial" w:hAnsi="Arial" w:cs="Arial"/>
                <w:sz w:val="20"/>
              </w:rPr>
              <w:t>Client Name:</w:t>
            </w:r>
          </w:p>
        </w:tc>
        <w:tc>
          <w:tcPr>
            <w:tcW w:w="3411" w:type="dxa"/>
            <w:tcBorders>
              <w:bottom w:val="single" w:color="auto" w:sz="4" w:space="0"/>
            </w:tcBorders>
            <w:vAlign w:val="bottom"/>
          </w:tcPr>
          <w:p w:rsidRPr="003605AD" w:rsidR="001C4E9E" w:rsidP="003F0298" w:rsidRDefault="001C4E9E" w14:paraId="1E2F352E" w14:textId="77777777">
            <w:pPr>
              <w:jc w:val="both"/>
              <w:rPr>
                <w:rFonts w:ascii="Arial" w:hAnsi="Arial" w:cs="Arial"/>
                <w:sz w:val="20"/>
              </w:rPr>
            </w:pPr>
            <w:r w:rsidRPr="003605AD">
              <w:rPr>
                <w:rFonts w:ascii="Arial" w:hAnsi="Arial" w:cs="Arial"/>
                <w:sz w:val="20"/>
              </w:rPr>
              <w:fldChar w:fldCharType="begin">
                <w:ffData>
                  <w:name w:val="Text2"/>
                  <w:enabled/>
                  <w:calcOnExit w:val="0"/>
                  <w:textInput/>
                </w:ffData>
              </w:fldChar>
            </w:r>
            <w:bookmarkStart w:name="Text2" w:id="0"/>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bookmarkEnd w:id="0"/>
          </w:p>
        </w:tc>
        <w:tc>
          <w:tcPr>
            <w:tcW w:w="1528" w:type="dxa"/>
            <w:gridSpan w:val="2"/>
            <w:vAlign w:val="bottom"/>
          </w:tcPr>
          <w:p w:rsidRPr="003605AD" w:rsidR="001C4E9E" w:rsidP="003F0298" w:rsidRDefault="001C4E9E" w14:paraId="7A695269" w14:textId="77777777">
            <w:pPr>
              <w:jc w:val="both"/>
              <w:rPr>
                <w:rFonts w:ascii="Arial" w:hAnsi="Arial" w:cs="Arial"/>
                <w:sz w:val="20"/>
              </w:rPr>
            </w:pPr>
            <w:r w:rsidRPr="003605AD">
              <w:rPr>
                <w:rFonts w:ascii="Arial" w:hAnsi="Arial" w:cs="Arial"/>
                <w:sz w:val="20"/>
              </w:rPr>
              <w:t>Trading as:</w:t>
            </w:r>
          </w:p>
        </w:tc>
        <w:tc>
          <w:tcPr>
            <w:tcW w:w="3701" w:type="dxa"/>
            <w:gridSpan w:val="4"/>
            <w:tcBorders>
              <w:bottom w:val="single" w:color="auto" w:sz="4" w:space="0"/>
            </w:tcBorders>
            <w:vAlign w:val="bottom"/>
          </w:tcPr>
          <w:p w:rsidRPr="003605AD" w:rsidR="001C4E9E" w:rsidP="003F0298" w:rsidRDefault="001C4E9E" w14:paraId="3C4944C6" w14:textId="77777777">
            <w:pPr>
              <w:jc w:val="both"/>
              <w:rPr>
                <w:rFonts w:ascii="Arial" w:hAnsi="Arial" w:cs="Arial"/>
                <w:sz w:val="20"/>
              </w:rPr>
            </w:pPr>
            <w:r w:rsidRPr="003605AD">
              <w:rPr>
                <w:rFonts w:ascii="Arial" w:hAnsi="Arial" w:cs="Arial"/>
                <w:sz w:val="20"/>
              </w:rPr>
              <w:fldChar w:fldCharType="begin">
                <w:ffData>
                  <w:name w:val="Text3"/>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sz w:val="20"/>
              </w:rPr>
              <w:fldChar w:fldCharType="end"/>
            </w:r>
          </w:p>
        </w:tc>
      </w:tr>
      <w:tr w:rsidRPr="00C20836" w:rsidR="001C4E9E" w:rsidTr="001C4E9E" w14:paraId="7E41E03F" w14:textId="77777777">
        <w:trPr>
          <w:trHeight w:val="454"/>
          <w:jc w:val="center"/>
        </w:trPr>
        <w:tc>
          <w:tcPr>
            <w:tcW w:w="1979" w:type="dxa"/>
            <w:vAlign w:val="bottom"/>
          </w:tcPr>
          <w:p w:rsidRPr="003605AD" w:rsidR="001C4E9E" w:rsidP="003F0298" w:rsidRDefault="009A443D" w14:paraId="14E76B6E" w14:textId="77777777">
            <w:pPr>
              <w:jc w:val="both"/>
              <w:rPr>
                <w:rFonts w:ascii="Arial" w:hAnsi="Arial" w:cs="Arial"/>
                <w:sz w:val="20"/>
              </w:rPr>
            </w:pPr>
            <w:r>
              <w:rPr>
                <w:rFonts w:ascii="Arial" w:hAnsi="Arial" w:cs="Arial"/>
                <w:sz w:val="20"/>
              </w:rPr>
              <w:t>Day to day contact</w:t>
            </w:r>
            <w:r w:rsidRPr="003605AD" w:rsidR="001C4E9E">
              <w:rPr>
                <w:rFonts w:ascii="Arial" w:hAnsi="Arial" w:cs="Arial"/>
                <w:sz w:val="20"/>
              </w:rPr>
              <w:t>:</w:t>
            </w:r>
          </w:p>
        </w:tc>
        <w:tc>
          <w:tcPr>
            <w:tcW w:w="3411" w:type="dxa"/>
            <w:tcBorders>
              <w:top w:val="single" w:color="auto" w:sz="4" w:space="0"/>
              <w:bottom w:val="single" w:color="auto" w:sz="4" w:space="0"/>
            </w:tcBorders>
            <w:vAlign w:val="bottom"/>
          </w:tcPr>
          <w:p w:rsidRPr="003605AD" w:rsidR="001C4E9E" w:rsidP="003F0298" w:rsidRDefault="001C4E9E" w14:paraId="23A5BDFB" w14:textId="77777777">
            <w:pPr>
              <w:jc w:val="both"/>
              <w:rPr>
                <w:rFonts w:ascii="Arial" w:hAnsi="Arial" w:cs="Arial"/>
                <w:sz w:val="20"/>
              </w:rPr>
            </w:pPr>
            <w:r w:rsidRPr="003605AD">
              <w:rPr>
                <w:rFonts w:ascii="Arial" w:hAnsi="Arial" w:cs="Arial"/>
                <w:sz w:val="20"/>
              </w:rPr>
              <w:fldChar w:fldCharType="begin">
                <w:ffData>
                  <w:name w:val="Text4"/>
                  <w:enabled/>
                  <w:calcOnExit w:val="0"/>
                  <w:textInput/>
                </w:ffData>
              </w:fldChar>
            </w:r>
            <w:bookmarkStart w:name="Text4" w:id="1"/>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bookmarkEnd w:id="1"/>
          </w:p>
        </w:tc>
        <w:tc>
          <w:tcPr>
            <w:tcW w:w="1528" w:type="dxa"/>
            <w:gridSpan w:val="2"/>
            <w:vAlign w:val="bottom"/>
          </w:tcPr>
          <w:p w:rsidRPr="003605AD" w:rsidR="001C4E9E" w:rsidP="003F0298" w:rsidRDefault="001C4E9E" w14:paraId="0A849FD5" w14:textId="77777777">
            <w:pPr>
              <w:jc w:val="both"/>
              <w:rPr>
                <w:rFonts w:ascii="Arial" w:hAnsi="Arial" w:cs="Arial"/>
                <w:sz w:val="20"/>
              </w:rPr>
            </w:pPr>
            <w:r w:rsidRPr="003605AD">
              <w:rPr>
                <w:rFonts w:ascii="Arial" w:hAnsi="Arial" w:cs="Arial"/>
                <w:sz w:val="20"/>
              </w:rPr>
              <w:t>Position:</w:t>
            </w:r>
          </w:p>
        </w:tc>
        <w:tc>
          <w:tcPr>
            <w:tcW w:w="3701" w:type="dxa"/>
            <w:gridSpan w:val="4"/>
            <w:tcBorders>
              <w:top w:val="single" w:color="auto" w:sz="4" w:space="0"/>
              <w:bottom w:val="single" w:color="auto" w:sz="4" w:space="0"/>
            </w:tcBorders>
            <w:vAlign w:val="bottom"/>
          </w:tcPr>
          <w:p w:rsidRPr="003605AD" w:rsidR="001C4E9E" w:rsidP="003F0298" w:rsidRDefault="001C4E9E" w14:paraId="324E118A" w14:textId="77777777">
            <w:pPr>
              <w:jc w:val="both"/>
              <w:rPr>
                <w:rFonts w:ascii="Arial" w:hAnsi="Arial" w:cs="Arial"/>
                <w:sz w:val="20"/>
              </w:rPr>
            </w:pPr>
            <w:r w:rsidRPr="003605AD">
              <w:rPr>
                <w:rFonts w:ascii="Arial" w:hAnsi="Arial" w:cs="Arial"/>
                <w:sz w:val="20"/>
              </w:rPr>
              <w:fldChar w:fldCharType="begin">
                <w:ffData>
                  <w:name w:val="Text5"/>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p>
        </w:tc>
      </w:tr>
      <w:tr w:rsidRPr="00C20836" w:rsidR="001C4E9E" w:rsidTr="001C4E9E" w14:paraId="67637B05" w14:textId="77777777">
        <w:trPr>
          <w:trHeight w:val="454"/>
          <w:jc w:val="center"/>
        </w:trPr>
        <w:tc>
          <w:tcPr>
            <w:tcW w:w="1979" w:type="dxa"/>
            <w:vAlign w:val="bottom"/>
          </w:tcPr>
          <w:p w:rsidRPr="003605AD" w:rsidR="001C4E9E" w:rsidP="003F0298" w:rsidRDefault="001C4E9E" w14:paraId="5C08323C" w14:textId="77777777">
            <w:pPr>
              <w:jc w:val="both"/>
              <w:rPr>
                <w:rFonts w:ascii="Arial" w:hAnsi="Arial" w:cs="Arial"/>
                <w:sz w:val="20"/>
              </w:rPr>
            </w:pPr>
            <w:r w:rsidRPr="003605AD">
              <w:rPr>
                <w:rFonts w:ascii="Arial" w:hAnsi="Arial" w:cs="Arial"/>
                <w:sz w:val="20"/>
              </w:rPr>
              <w:t>Client Address:</w:t>
            </w:r>
          </w:p>
        </w:tc>
        <w:tc>
          <w:tcPr>
            <w:tcW w:w="8640" w:type="dxa"/>
            <w:gridSpan w:val="7"/>
            <w:tcBorders>
              <w:bottom w:val="single" w:color="auto" w:sz="4" w:space="0"/>
            </w:tcBorders>
            <w:vAlign w:val="bottom"/>
          </w:tcPr>
          <w:p w:rsidRPr="003605AD" w:rsidR="001C4E9E" w:rsidP="003F0298" w:rsidRDefault="001C4E9E" w14:paraId="7C60935A" w14:textId="77777777">
            <w:pPr>
              <w:jc w:val="both"/>
              <w:rPr>
                <w:rFonts w:ascii="Arial" w:hAnsi="Arial" w:cs="Arial"/>
                <w:sz w:val="20"/>
              </w:rPr>
            </w:pPr>
            <w:r w:rsidRPr="003605AD">
              <w:rPr>
                <w:rFonts w:ascii="Arial" w:hAnsi="Arial" w:cs="Arial"/>
                <w:sz w:val="20"/>
              </w:rPr>
              <w:fldChar w:fldCharType="begin">
                <w:ffData>
                  <w:name w:val="Text6"/>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p>
        </w:tc>
      </w:tr>
      <w:tr w:rsidRPr="00C20836" w:rsidR="001C4E9E" w:rsidTr="005060E3" w14:paraId="4ED5F92B" w14:textId="77777777">
        <w:trPr>
          <w:trHeight w:val="454"/>
          <w:jc w:val="center"/>
        </w:trPr>
        <w:tc>
          <w:tcPr>
            <w:tcW w:w="5390" w:type="dxa"/>
            <w:gridSpan w:val="2"/>
            <w:tcBorders>
              <w:bottom w:val="single" w:color="auto" w:sz="4" w:space="0"/>
            </w:tcBorders>
            <w:vAlign w:val="bottom"/>
          </w:tcPr>
          <w:p w:rsidRPr="003605AD" w:rsidR="001C4E9E" w:rsidP="003F0298" w:rsidRDefault="001C4E9E" w14:paraId="008E0C9A" w14:textId="77777777">
            <w:pPr>
              <w:jc w:val="both"/>
              <w:rPr>
                <w:rFonts w:ascii="Arial" w:hAnsi="Arial" w:cs="Arial"/>
                <w:sz w:val="20"/>
              </w:rPr>
            </w:pPr>
            <w:r w:rsidRPr="003605AD">
              <w:rPr>
                <w:rFonts w:ascii="Arial" w:hAnsi="Arial" w:cs="Arial"/>
                <w:sz w:val="20"/>
              </w:rPr>
              <w:fldChar w:fldCharType="begin">
                <w:ffData>
                  <w:name w:val="Text7"/>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sz w:val="20"/>
              </w:rPr>
              <w:fldChar w:fldCharType="end"/>
            </w:r>
          </w:p>
        </w:tc>
        <w:tc>
          <w:tcPr>
            <w:tcW w:w="1285" w:type="dxa"/>
            <w:vAlign w:val="bottom"/>
          </w:tcPr>
          <w:p w:rsidRPr="003605AD" w:rsidR="001C4E9E" w:rsidP="003F0298" w:rsidRDefault="001C4E9E" w14:paraId="4BAB563D" w14:textId="77777777">
            <w:pPr>
              <w:jc w:val="both"/>
              <w:rPr>
                <w:rFonts w:ascii="Arial" w:hAnsi="Arial" w:cs="Arial"/>
                <w:sz w:val="20"/>
              </w:rPr>
            </w:pPr>
            <w:r w:rsidRPr="003605AD">
              <w:rPr>
                <w:rFonts w:ascii="Arial" w:hAnsi="Arial" w:cs="Arial"/>
                <w:sz w:val="20"/>
              </w:rPr>
              <w:t>Postcode:</w:t>
            </w:r>
          </w:p>
        </w:tc>
        <w:tc>
          <w:tcPr>
            <w:tcW w:w="974" w:type="dxa"/>
            <w:gridSpan w:val="3"/>
            <w:tcBorders>
              <w:bottom w:val="single" w:color="auto" w:sz="4" w:space="0"/>
            </w:tcBorders>
            <w:vAlign w:val="bottom"/>
          </w:tcPr>
          <w:p w:rsidRPr="003605AD" w:rsidR="001C4E9E" w:rsidP="003F0298" w:rsidRDefault="001C4E9E" w14:paraId="48FDB810" w14:textId="77777777">
            <w:pPr>
              <w:jc w:val="both"/>
              <w:rPr>
                <w:rFonts w:ascii="Arial" w:hAnsi="Arial" w:cs="Arial"/>
                <w:sz w:val="20"/>
              </w:rPr>
            </w:pPr>
            <w:r w:rsidRPr="003605AD">
              <w:rPr>
                <w:rFonts w:ascii="Arial" w:hAnsi="Arial" w:cs="Arial"/>
                <w:sz w:val="20"/>
              </w:rPr>
              <w:fldChar w:fldCharType="begin">
                <w:ffData>
                  <w:name w:val="Text8"/>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p>
        </w:tc>
        <w:tc>
          <w:tcPr>
            <w:tcW w:w="1701" w:type="dxa"/>
            <w:vAlign w:val="bottom"/>
          </w:tcPr>
          <w:p w:rsidRPr="003605AD" w:rsidR="001C4E9E" w:rsidP="005060E3" w:rsidRDefault="005060E3" w14:paraId="7C3023D5" w14:textId="77777777">
            <w:pPr>
              <w:rPr>
                <w:rFonts w:ascii="Arial" w:hAnsi="Arial" w:cs="Arial"/>
                <w:sz w:val="20"/>
              </w:rPr>
            </w:pPr>
            <w:r>
              <w:rPr>
                <w:rFonts w:ascii="Arial" w:hAnsi="Arial" w:cs="Arial"/>
                <w:sz w:val="20"/>
              </w:rPr>
              <w:t>Nexus Trade Credit</w:t>
            </w:r>
            <w:r w:rsidR="009A443D">
              <w:rPr>
                <w:rFonts w:ascii="Arial" w:hAnsi="Arial" w:cs="Arial"/>
                <w:sz w:val="20"/>
              </w:rPr>
              <w:t xml:space="preserve"> Policy</w:t>
            </w:r>
            <w:r w:rsidRPr="003605AD" w:rsidR="001C4E9E">
              <w:rPr>
                <w:rFonts w:ascii="Arial" w:hAnsi="Arial" w:cs="Arial"/>
                <w:sz w:val="20"/>
              </w:rPr>
              <w:t xml:space="preserve"> #:</w:t>
            </w:r>
          </w:p>
        </w:tc>
        <w:tc>
          <w:tcPr>
            <w:tcW w:w="1269" w:type="dxa"/>
            <w:tcBorders>
              <w:bottom w:val="single" w:color="auto" w:sz="4" w:space="0"/>
            </w:tcBorders>
            <w:vAlign w:val="bottom"/>
          </w:tcPr>
          <w:p w:rsidRPr="003605AD" w:rsidR="001C4E9E" w:rsidP="003F0298" w:rsidRDefault="001C4E9E" w14:paraId="0F195667" w14:textId="77777777">
            <w:pPr>
              <w:jc w:val="both"/>
              <w:rPr>
                <w:rFonts w:ascii="Arial" w:hAnsi="Arial" w:cs="Arial"/>
                <w:sz w:val="20"/>
              </w:rPr>
            </w:pPr>
            <w:r w:rsidRPr="003605AD">
              <w:rPr>
                <w:rFonts w:ascii="Arial" w:hAnsi="Arial" w:cs="Arial"/>
                <w:sz w:val="20"/>
              </w:rPr>
              <w:fldChar w:fldCharType="begin">
                <w:ffData>
                  <w:name w:val="Text9"/>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sz w:val="20"/>
              </w:rPr>
              <w:fldChar w:fldCharType="end"/>
            </w:r>
          </w:p>
        </w:tc>
      </w:tr>
      <w:tr w:rsidRPr="00C20836" w:rsidR="001C4E9E" w:rsidTr="001C4E9E" w14:paraId="3E6ACDD6" w14:textId="77777777">
        <w:trPr>
          <w:trHeight w:val="454"/>
          <w:jc w:val="center"/>
        </w:trPr>
        <w:tc>
          <w:tcPr>
            <w:tcW w:w="1979" w:type="dxa"/>
            <w:tcBorders>
              <w:top w:val="single" w:color="auto" w:sz="4" w:space="0"/>
            </w:tcBorders>
            <w:vAlign w:val="bottom"/>
          </w:tcPr>
          <w:p w:rsidRPr="003605AD" w:rsidR="001C4E9E" w:rsidP="003F0298" w:rsidRDefault="001C4E9E" w14:paraId="76129E40" w14:textId="77777777">
            <w:pPr>
              <w:jc w:val="both"/>
              <w:rPr>
                <w:rFonts w:ascii="Arial" w:hAnsi="Arial" w:cs="Arial"/>
                <w:sz w:val="20"/>
              </w:rPr>
            </w:pPr>
            <w:r w:rsidRPr="003605AD">
              <w:rPr>
                <w:rFonts w:ascii="Arial" w:hAnsi="Arial" w:cs="Arial"/>
                <w:sz w:val="20"/>
              </w:rPr>
              <w:t>Telephone #:</w:t>
            </w:r>
          </w:p>
        </w:tc>
        <w:tc>
          <w:tcPr>
            <w:tcW w:w="3411" w:type="dxa"/>
            <w:tcBorders>
              <w:top w:val="single" w:color="auto" w:sz="4" w:space="0"/>
              <w:bottom w:val="single" w:color="auto" w:sz="4" w:space="0"/>
            </w:tcBorders>
            <w:vAlign w:val="bottom"/>
          </w:tcPr>
          <w:p w:rsidRPr="003605AD" w:rsidR="001C4E9E" w:rsidP="003F0298" w:rsidRDefault="001C4E9E" w14:paraId="10ABD6CC" w14:textId="77777777">
            <w:pPr>
              <w:jc w:val="both"/>
              <w:rPr>
                <w:rFonts w:ascii="Arial" w:hAnsi="Arial" w:cs="Arial"/>
                <w:sz w:val="20"/>
              </w:rPr>
            </w:pPr>
            <w:r w:rsidRPr="003605AD">
              <w:rPr>
                <w:rFonts w:ascii="Arial" w:hAnsi="Arial" w:cs="Arial"/>
                <w:sz w:val="20"/>
              </w:rPr>
              <w:fldChar w:fldCharType="begin">
                <w:ffData>
                  <w:name w:val="Text12"/>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p>
        </w:tc>
        <w:tc>
          <w:tcPr>
            <w:tcW w:w="1812" w:type="dxa"/>
            <w:gridSpan w:val="3"/>
            <w:vAlign w:val="bottom"/>
          </w:tcPr>
          <w:p w:rsidRPr="003605AD" w:rsidR="001C4E9E" w:rsidP="003F0298" w:rsidRDefault="001C4E9E" w14:paraId="1DEE695A" w14:textId="77777777">
            <w:pPr>
              <w:jc w:val="both"/>
              <w:rPr>
                <w:rFonts w:ascii="Arial" w:hAnsi="Arial" w:cs="Arial"/>
                <w:sz w:val="20"/>
              </w:rPr>
            </w:pPr>
            <w:r w:rsidRPr="003605AD">
              <w:rPr>
                <w:rFonts w:ascii="Arial" w:hAnsi="Arial" w:cs="Arial"/>
                <w:sz w:val="20"/>
              </w:rPr>
              <w:t>Fax #:</w:t>
            </w:r>
          </w:p>
        </w:tc>
        <w:tc>
          <w:tcPr>
            <w:tcW w:w="3417" w:type="dxa"/>
            <w:gridSpan w:val="3"/>
            <w:tcBorders>
              <w:bottom w:val="single" w:color="auto" w:sz="4" w:space="0"/>
            </w:tcBorders>
            <w:vAlign w:val="bottom"/>
          </w:tcPr>
          <w:p w:rsidRPr="003605AD" w:rsidR="001C4E9E" w:rsidP="003F0298" w:rsidRDefault="001C4E9E" w14:paraId="6DF38903" w14:textId="77777777">
            <w:pPr>
              <w:jc w:val="both"/>
              <w:rPr>
                <w:rFonts w:ascii="Arial" w:hAnsi="Arial" w:cs="Arial"/>
                <w:sz w:val="20"/>
              </w:rPr>
            </w:pPr>
            <w:r w:rsidRPr="003605AD">
              <w:rPr>
                <w:rFonts w:ascii="Arial" w:hAnsi="Arial" w:cs="Arial"/>
                <w:sz w:val="20"/>
              </w:rPr>
              <w:fldChar w:fldCharType="begin">
                <w:ffData>
                  <w:name w:val="Text10"/>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p>
        </w:tc>
      </w:tr>
      <w:tr w:rsidRPr="00C20836" w:rsidR="001C4E9E" w:rsidTr="001C4E9E" w14:paraId="6BD35217" w14:textId="77777777">
        <w:trPr>
          <w:trHeight w:val="454"/>
          <w:jc w:val="center"/>
        </w:trPr>
        <w:tc>
          <w:tcPr>
            <w:tcW w:w="1979" w:type="dxa"/>
            <w:vAlign w:val="bottom"/>
          </w:tcPr>
          <w:p w:rsidRPr="003605AD" w:rsidR="001C4E9E" w:rsidP="003F0298" w:rsidRDefault="001C4E9E" w14:paraId="736182C7" w14:textId="77777777">
            <w:pPr>
              <w:jc w:val="both"/>
              <w:rPr>
                <w:rFonts w:ascii="Arial" w:hAnsi="Arial" w:cs="Arial"/>
                <w:sz w:val="20"/>
              </w:rPr>
            </w:pPr>
            <w:r w:rsidRPr="003605AD">
              <w:rPr>
                <w:rFonts w:ascii="Arial" w:hAnsi="Arial" w:cs="Arial"/>
                <w:sz w:val="20"/>
              </w:rPr>
              <w:t>Email Address:</w:t>
            </w:r>
          </w:p>
        </w:tc>
        <w:tc>
          <w:tcPr>
            <w:tcW w:w="3411" w:type="dxa"/>
            <w:tcBorders>
              <w:top w:val="single" w:color="auto" w:sz="4" w:space="0"/>
              <w:bottom w:val="single" w:color="auto" w:sz="4" w:space="0"/>
            </w:tcBorders>
            <w:vAlign w:val="bottom"/>
          </w:tcPr>
          <w:p w:rsidRPr="003605AD" w:rsidR="001C4E9E" w:rsidP="003F0298" w:rsidRDefault="001C4E9E" w14:paraId="6A124743" w14:textId="77777777">
            <w:pPr>
              <w:jc w:val="both"/>
              <w:rPr>
                <w:rFonts w:ascii="Arial" w:hAnsi="Arial" w:cs="Arial"/>
                <w:sz w:val="20"/>
              </w:rPr>
            </w:pPr>
            <w:r w:rsidRPr="003605AD">
              <w:rPr>
                <w:rFonts w:ascii="Arial" w:hAnsi="Arial" w:cs="Arial"/>
                <w:sz w:val="20"/>
              </w:rPr>
              <w:fldChar w:fldCharType="begin">
                <w:ffData>
                  <w:name w:val="Text13"/>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p>
        </w:tc>
        <w:tc>
          <w:tcPr>
            <w:tcW w:w="1812" w:type="dxa"/>
            <w:gridSpan w:val="3"/>
            <w:vAlign w:val="bottom"/>
          </w:tcPr>
          <w:p w:rsidRPr="003605AD" w:rsidR="001C4E9E" w:rsidP="003F0298" w:rsidRDefault="001C4E9E" w14:paraId="701A6015" w14:textId="77777777">
            <w:pPr>
              <w:jc w:val="both"/>
              <w:rPr>
                <w:rFonts w:ascii="Arial" w:hAnsi="Arial" w:cs="Arial"/>
                <w:sz w:val="20"/>
              </w:rPr>
            </w:pPr>
            <w:r w:rsidRPr="003605AD">
              <w:rPr>
                <w:rFonts w:ascii="Arial" w:hAnsi="Arial" w:cs="Arial"/>
                <w:sz w:val="20"/>
              </w:rPr>
              <w:t>Web Address:</w:t>
            </w:r>
          </w:p>
        </w:tc>
        <w:tc>
          <w:tcPr>
            <w:tcW w:w="3417" w:type="dxa"/>
            <w:gridSpan w:val="3"/>
            <w:tcBorders>
              <w:top w:val="single" w:color="auto" w:sz="4" w:space="0"/>
              <w:bottom w:val="single" w:color="auto" w:sz="4" w:space="0"/>
            </w:tcBorders>
            <w:vAlign w:val="bottom"/>
          </w:tcPr>
          <w:p w:rsidRPr="003605AD" w:rsidR="001C4E9E" w:rsidP="003F0298" w:rsidRDefault="001C4E9E" w14:paraId="3409B64F" w14:textId="77777777">
            <w:pPr>
              <w:jc w:val="both"/>
              <w:rPr>
                <w:rFonts w:ascii="Arial" w:hAnsi="Arial" w:cs="Arial"/>
                <w:sz w:val="20"/>
              </w:rPr>
            </w:pPr>
            <w:r w:rsidRPr="003605AD">
              <w:rPr>
                <w:rFonts w:ascii="Arial" w:hAnsi="Arial" w:cs="Arial"/>
                <w:sz w:val="20"/>
              </w:rPr>
              <w:fldChar w:fldCharType="begin">
                <w:ffData>
                  <w:name w:val="Text11"/>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noProof/>
                <w:sz w:val="20"/>
              </w:rPr>
              <w:t> </w:t>
            </w:r>
            <w:r w:rsidRPr="003605AD">
              <w:rPr>
                <w:rFonts w:ascii="Arial" w:hAnsi="Arial" w:cs="Arial"/>
                <w:sz w:val="20"/>
              </w:rPr>
              <w:fldChar w:fldCharType="end"/>
            </w:r>
          </w:p>
        </w:tc>
      </w:tr>
    </w:tbl>
    <w:p w:rsidRPr="001C4E9E" w:rsidR="007B2D41" w:rsidRDefault="007B2D41" w14:paraId="6A05A809" w14:textId="77777777">
      <w:pPr>
        <w:jc w:val="both"/>
        <w:rPr>
          <w:rFonts w:ascii="Arial" w:hAnsi="Arial" w:cs="Arial"/>
        </w:rPr>
      </w:pPr>
    </w:p>
    <w:p w:rsidRPr="001C4E9E" w:rsidR="007B2D41" w:rsidRDefault="007B2D41" w14:paraId="5A39BBE3" w14:textId="77777777">
      <w:pPr>
        <w:jc w:val="both"/>
        <w:rPr>
          <w:rFonts w:ascii="Arial" w:hAnsi="Arial" w:cs="Arial"/>
        </w:rPr>
      </w:pPr>
    </w:p>
    <w:p w:rsidRPr="003605AD" w:rsidR="001C4E9E" w:rsidP="001C4E9E" w:rsidRDefault="00E50FFE" w14:paraId="0D8B538C" w14:textId="77777777">
      <w:pPr>
        <w:shd w:val="clear" w:color="auto" w:fill="17365D"/>
        <w:rPr>
          <w:rFonts w:ascii="Arial" w:hAnsi="Arial" w:cs="Arial"/>
          <w:b/>
          <w:szCs w:val="26"/>
        </w:rPr>
      </w:pPr>
      <w:r w:rsidRPr="00E50FFE">
        <w:rPr>
          <w:rFonts w:ascii="Arial" w:hAnsi="Arial" w:cs="Arial"/>
          <w:b/>
          <w:szCs w:val="26"/>
        </w:rPr>
        <w:t>APPLICABLE COLLECTION SERVICES &amp; APPLICABLE CHARGES:</w:t>
      </w:r>
    </w:p>
    <w:tbl>
      <w:tblPr>
        <w:tblW w:w="0" w:type="auto"/>
        <w:tblInd w:w="108" w:type="dxa"/>
        <w:tblLook w:val="04A0" w:firstRow="1" w:lastRow="0" w:firstColumn="1" w:lastColumn="0" w:noHBand="0" w:noVBand="1"/>
      </w:tblPr>
      <w:tblGrid>
        <w:gridCol w:w="5457"/>
        <w:gridCol w:w="5458"/>
      </w:tblGrid>
      <w:tr w:rsidRPr="0006545B" w:rsidR="00040C7D" w:rsidTr="004629B7" w14:paraId="11082B41" w14:textId="77777777">
        <w:trPr>
          <w:trHeight w:val="444"/>
        </w:trPr>
        <w:tc>
          <w:tcPr>
            <w:tcW w:w="5457" w:type="dxa"/>
            <w:tcBorders>
              <w:right w:val="single" w:color="auto" w:sz="4" w:space="0"/>
            </w:tcBorders>
            <w:shd w:val="clear" w:color="auto" w:fill="DAEEF3"/>
          </w:tcPr>
          <w:p w:rsidRPr="00DF6AE5" w:rsidR="00040C7D" w:rsidP="00DF6AE5" w:rsidRDefault="00DF6AE5" w14:paraId="57CAC01D" w14:textId="77777777">
            <w:pPr>
              <w:jc w:val="center"/>
              <w:rPr>
                <w:rFonts w:ascii="Arial" w:hAnsi="Arial" w:cs="Arial"/>
                <w:b/>
                <w:sz w:val="23"/>
                <w:szCs w:val="23"/>
              </w:rPr>
            </w:pPr>
            <w:r w:rsidRPr="00574DDC">
              <w:rPr>
                <w:rFonts w:ascii="Arial" w:hAnsi="Arial" w:cs="Arial"/>
                <w:b/>
                <w:sz w:val="12"/>
                <w:szCs w:val="12"/>
              </w:rPr>
              <w:br/>
            </w:r>
            <w:r w:rsidRPr="00DF6AE5" w:rsidR="00946804">
              <w:rPr>
                <w:rFonts w:ascii="Arial" w:hAnsi="Arial" w:cs="Arial"/>
                <w:b/>
                <w:sz w:val="23"/>
                <w:szCs w:val="23"/>
              </w:rPr>
              <w:t>UK</w:t>
            </w:r>
            <w:r w:rsidRPr="00DF6AE5" w:rsidR="00E50FFE">
              <w:rPr>
                <w:rFonts w:ascii="Arial" w:hAnsi="Arial" w:cs="Arial"/>
                <w:b/>
                <w:sz w:val="23"/>
                <w:szCs w:val="23"/>
              </w:rPr>
              <w:t xml:space="preserve"> &amp; IRELAND DEBTS</w:t>
            </w:r>
          </w:p>
          <w:p w:rsidRPr="0006545B" w:rsidR="00040C7D" w:rsidP="00DF6AE5" w:rsidRDefault="00040C7D" w14:paraId="41C8F396" w14:textId="77777777">
            <w:pPr>
              <w:jc w:val="center"/>
              <w:rPr>
                <w:rFonts w:ascii="Arial" w:hAnsi="Arial" w:cs="Arial"/>
                <w:i/>
                <w:sz w:val="16"/>
                <w:szCs w:val="16"/>
              </w:rPr>
            </w:pPr>
          </w:p>
        </w:tc>
        <w:tc>
          <w:tcPr>
            <w:tcW w:w="5458" w:type="dxa"/>
            <w:tcBorders>
              <w:left w:val="single" w:color="auto" w:sz="4" w:space="0"/>
            </w:tcBorders>
            <w:shd w:val="clear" w:color="auto" w:fill="DBE5F1"/>
          </w:tcPr>
          <w:p w:rsidRPr="00DF6AE5" w:rsidR="00040C7D" w:rsidP="00DF6AE5" w:rsidRDefault="00DF6AE5" w14:paraId="6F4808B3" w14:textId="77777777">
            <w:pPr>
              <w:jc w:val="center"/>
              <w:rPr>
                <w:rFonts w:ascii="Arial" w:hAnsi="Arial" w:cs="Arial"/>
                <w:b/>
                <w:sz w:val="23"/>
                <w:szCs w:val="23"/>
              </w:rPr>
            </w:pPr>
            <w:r w:rsidRPr="00574DDC">
              <w:rPr>
                <w:rFonts w:ascii="Arial" w:hAnsi="Arial" w:cs="Arial"/>
                <w:b/>
                <w:sz w:val="12"/>
                <w:szCs w:val="12"/>
              </w:rPr>
              <w:br/>
            </w:r>
            <w:r w:rsidRPr="00DF6AE5" w:rsidR="00E50FFE">
              <w:rPr>
                <w:rFonts w:ascii="Arial" w:hAnsi="Arial" w:cs="Arial"/>
                <w:b/>
                <w:sz w:val="23"/>
                <w:szCs w:val="23"/>
              </w:rPr>
              <w:t>INTERNATIONAL DEBTS</w:t>
            </w:r>
          </w:p>
          <w:p w:rsidRPr="0006545B" w:rsidR="001B7258" w:rsidP="00DF6AE5" w:rsidRDefault="001B7258" w14:paraId="72A3D3EC" w14:textId="77777777">
            <w:pPr>
              <w:jc w:val="center"/>
              <w:rPr>
                <w:rFonts w:ascii="Arial" w:hAnsi="Arial" w:cs="Arial"/>
                <w:i/>
                <w:sz w:val="16"/>
                <w:szCs w:val="16"/>
              </w:rPr>
            </w:pPr>
          </w:p>
        </w:tc>
      </w:tr>
      <w:tr w:rsidRPr="0006545B" w:rsidR="00040C7D" w:rsidTr="004629B7" w14:paraId="6487DC50" w14:textId="77777777">
        <w:tc>
          <w:tcPr>
            <w:tcW w:w="5457" w:type="dxa"/>
            <w:tcBorders>
              <w:right w:val="single" w:color="auto" w:sz="4" w:space="0"/>
            </w:tcBorders>
            <w:shd w:val="clear" w:color="auto" w:fill="DAEEF3"/>
          </w:tcPr>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8"/>
              <w:gridCol w:w="850"/>
            </w:tblGrid>
            <w:tr w:rsidRPr="00040C7D" w:rsidR="00040C7D" w:rsidTr="00574DDC" w14:paraId="5D07E508" w14:textId="77777777">
              <w:trPr>
                <w:trHeight w:val="70"/>
                <w:jc w:val="center"/>
              </w:trPr>
              <w:tc>
                <w:tcPr>
                  <w:tcW w:w="3148" w:type="dxa"/>
                  <w:tcBorders>
                    <w:top w:val="nil"/>
                    <w:left w:val="nil"/>
                  </w:tcBorders>
                  <w:shd w:val="clear" w:color="auto" w:fill="auto"/>
                  <w:vAlign w:val="center"/>
                </w:tcPr>
                <w:p w:rsidRPr="00040C7D" w:rsidR="00040C7D" w:rsidP="00DF6AE5" w:rsidRDefault="00040C7D" w14:paraId="0D0B940D" w14:textId="77777777">
                  <w:pPr>
                    <w:jc w:val="center"/>
                    <w:rPr>
                      <w:rFonts w:ascii="Arial" w:hAnsi="Arial" w:cs="Arial"/>
                      <w:b/>
                      <w:color w:val="FFFFFF"/>
                      <w:sz w:val="21"/>
                      <w:szCs w:val="21"/>
                    </w:rPr>
                  </w:pPr>
                </w:p>
              </w:tc>
              <w:tc>
                <w:tcPr>
                  <w:tcW w:w="850" w:type="dxa"/>
                  <w:tcBorders>
                    <w:top w:val="nil"/>
                  </w:tcBorders>
                  <w:shd w:val="clear" w:color="auto" w:fill="17365D"/>
                  <w:vAlign w:val="center"/>
                </w:tcPr>
                <w:p w:rsidRPr="00040C7D" w:rsidR="00040C7D" w:rsidP="00DF6AE5" w:rsidRDefault="00040C7D" w14:paraId="7B751E2B" w14:textId="77777777">
                  <w:pPr>
                    <w:jc w:val="center"/>
                    <w:rPr>
                      <w:rFonts w:ascii="Arial" w:hAnsi="Arial" w:cs="Arial"/>
                      <w:b/>
                      <w:color w:val="FFFFFF"/>
                      <w:sz w:val="21"/>
                      <w:szCs w:val="21"/>
                    </w:rPr>
                  </w:pPr>
                  <w:r w:rsidRPr="00040C7D">
                    <w:rPr>
                      <w:rFonts w:ascii="Arial" w:hAnsi="Arial" w:cs="Arial"/>
                      <w:b/>
                      <w:color w:val="FFFFFF"/>
                      <w:sz w:val="21"/>
                      <w:szCs w:val="21"/>
                    </w:rPr>
                    <w:t>Rate</w:t>
                  </w:r>
                </w:p>
              </w:tc>
            </w:tr>
            <w:tr w:rsidRPr="00040C7D" w:rsidR="00040C7D" w:rsidTr="00574DDC" w14:paraId="76808400" w14:textId="77777777">
              <w:trPr>
                <w:trHeight w:val="155"/>
                <w:jc w:val="center"/>
              </w:trPr>
              <w:tc>
                <w:tcPr>
                  <w:tcW w:w="3148" w:type="dxa"/>
                  <w:tcBorders>
                    <w:left w:val="nil"/>
                    <w:bottom w:val="single" w:color="auto" w:sz="4" w:space="0"/>
                  </w:tcBorders>
                  <w:shd w:val="clear" w:color="auto" w:fill="17365D"/>
                  <w:vAlign w:val="center"/>
                </w:tcPr>
                <w:p w:rsidRPr="00E50FFE" w:rsidR="00040C7D" w:rsidP="00DF6AE5" w:rsidRDefault="0076008C" w14:paraId="65861C6E" w14:textId="77777777">
                  <w:pPr>
                    <w:jc w:val="center"/>
                    <w:rPr>
                      <w:rFonts w:ascii="Arial" w:hAnsi="Arial" w:cs="Arial"/>
                      <w:color w:val="FFFFFF"/>
                      <w:sz w:val="16"/>
                      <w:szCs w:val="21"/>
                    </w:rPr>
                  </w:pPr>
                  <w:r>
                    <w:rPr>
                      <w:rFonts w:ascii="Arial" w:hAnsi="Arial" w:cs="Arial"/>
                      <w:b/>
                      <w:color w:val="FFFFFF"/>
                      <w:sz w:val="21"/>
                      <w:szCs w:val="21"/>
                    </w:rPr>
                    <w:t>Principal</w:t>
                  </w:r>
                </w:p>
                <w:p w:rsidRPr="00040C7D" w:rsidR="00E50FFE" w:rsidP="00DF6AE5" w:rsidRDefault="00E50FFE" w14:paraId="7BF94608" w14:textId="77777777">
                  <w:pPr>
                    <w:jc w:val="center"/>
                    <w:rPr>
                      <w:rFonts w:ascii="Arial" w:hAnsi="Arial" w:cs="Arial"/>
                      <w:b/>
                      <w:color w:val="FFFFFF"/>
                      <w:sz w:val="21"/>
                      <w:szCs w:val="21"/>
                    </w:rPr>
                  </w:pPr>
                  <w:r w:rsidRPr="00E50FFE">
                    <w:rPr>
                      <w:rFonts w:ascii="Arial" w:hAnsi="Arial" w:cs="Arial"/>
                      <w:color w:val="FFFFFF"/>
                      <w:sz w:val="16"/>
                      <w:szCs w:val="21"/>
                    </w:rPr>
                    <w:t>THE CLIENT pays STA commission</w:t>
                  </w:r>
                </w:p>
              </w:tc>
              <w:tc>
                <w:tcPr>
                  <w:tcW w:w="850" w:type="dxa"/>
                  <w:tcBorders>
                    <w:bottom w:val="single" w:color="auto" w:sz="4" w:space="0"/>
                  </w:tcBorders>
                  <w:shd w:val="clear" w:color="auto" w:fill="auto"/>
                  <w:vAlign w:val="center"/>
                </w:tcPr>
                <w:p w:rsidRPr="00040C7D" w:rsidR="00040C7D" w:rsidP="00DF6AE5" w:rsidRDefault="00040C7D" w14:paraId="598B85BA" w14:textId="77777777">
                  <w:pPr>
                    <w:jc w:val="center"/>
                    <w:rPr>
                      <w:rFonts w:ascii="Arial" w:hAnsi="Arial" w:cs="Arial"/>
                      <w:b/>
                      <w:sz w:val="21"/>
                      <w:szCs w:val="21"/>
                    </w:rPr>
                  </w:pPr>
                  <w:r w:rsidRPr="00040C7D">
                    <w:rPr>
                      <w:rFonts w:ascii="Arial" w:hAnsi="Arial" w:cs="Arial"/>
                      <w:b/>
                      <w:sz w:val="21"/>
                      <w:szCs w:val="21"/>
                    </w:rPr>
                    <w:t>5%</w:t>
                  </w:r>
                </w:p>
              </w:tc>
            </w:tr>
            <w:tr w:rsidRPr="00040C7D" w:rsidR="00574DDC" w:rsidTr="00574DDC" w14:paraId="0E27B00A" w14:textId="77777777">
              <w:trPr>
                <w:trHeight w:val="93"/>
                <w:jc w:val="center"/>
              </w:trPr>
              <w:tc>
                <w:tcPr>
                  <w:tcW w:w="3148" w:type="dxa"/>
                  <w:tcBorders>
                    <w:left w:val="nil"/>
                    <w:right w:val="nil"/>
                  </w:tcBorders>
                  <w:shd w:val="clear" w:color="auto" w:fill="auto"/>
                  <w:vAlign w:val="center"/>
                </w:tcPr>
                <w:p w:rsidRPr="00574DDC" w:rsidR="00574DDC" w:rsidP="00DF6AE5" w:rsidRDefault="00574DDC" w14:paraId="60061E4C" w14:textId="77777777">
                  <w:pPr>
                    <w:jc w:val="center"/>
                    <w:rPr>
                      <w:rFonts w:ascii="Arial" w:hAnsi="Arial" w:cs="Arial"/>
                      <w:b/>
                      <w:color w:val="FFFFFF"/>
                      <w:sz w:val="12"/>
                      <w:szCs w:val="12"/>
                    </w:rPr>
                  </w:pPr>
                </w:p>
              </w:tc>
              <w:tc>
                <w:tcPr>
                  <w:tcW w:w="850" w:type="dxa"/>
                  <w:tcBorders>
                    <w:left w:val="nil"/>
                    <w:right w:val="nil"/>
                  </w:tcBorders>
                  <w:shd w:val="clear" w:color="auto" w:fill="auto"/>
                  <w:vAlign w:val="center"/>
                </w:tcPr>
                <w:p w:rsidRPr="00574DDC" w:rsidR="00574DDC" w:rsidP="00DF6AE5" w:rsidRDefault="00574DDC" w14:paraId="44EAFD9C" w14:textId="77777777">
                  <w:pPr>
                    <w:jc w:val="center"/>
                    <w:rPr>
                      <w:rFonts w:ascii="Arial" w:hAnsi="Arial" w:cs="Arial"/>
                      <w:b/>
                      <w:sz w:val="12"/>
                      <w:szCs w:val="12"/>
                    </w:rPr>
                  </w:pPr>
                </w:p>
              </w:tc>
            </w:tr>
            <w:tr w:rsidRPr="00040C7D" w:rsidR="00040C7D" w:rsidTr="00574DDC" w14:paraId="62CCA961" w14:textId="77777777">
              <w:trPr>
                <w:trHeight w:val="283"/>
                <w:jc w:val="center"/>
              </w:trPr>
              <w:tc>
                <w:tcPr>
                  <w:tcW w:w="3148" w:type="dxa"/>
                  <w:tcBorders>
                    <w:left w:val="nil"/>
                  </w:tcBorders>
                  <w:shd w:val="clear" w:color="auto" w:fill="17365D"/>
                  <w:vAlign w:val="center"/>
                </w:tcPr>
                <w:p w:rsidR="00040C7D" w:rsidP="00DF6AE5" w:rsidRDefault="00DF6AE5" w14:paraId="656F51B0" w14:textId="77777777">
                  <w:pPr>
                    <w:jc w:val="center"/>
                    <w:rPr>
                      <w:rFonts w:ascii="Arial" w:hAnsi="Arial" w:cs="Arial"/>
                      <w:b/>
                      <w:color w:val="FFFFFF"/>
                      <w:sz w:val="21"/>
                      <w:szCs w:val="21"/>
                    </w:rPr>
                  </w:pPr>
                  <w:r>
                    <w:rPr>
                      <w:rFonts w:ascii="Arial" w:hAnsi="Arial" w:cs="Arial"/>
                      <w:b/>
                      <w:color w:val="FFFFFF"/>
                      <w:sz w:val="21"/>
                      <w:szCs w:val="21"/>
                    </w:rPr>
                    <w:t>Principal Plus</w:t>
                  </w:r>
                </w:p>
                <w:p w:rsidRPr="00E50FFE" w:rsidR="00E50FFE" w:rsidP="00DF6AE5" w:rsidRDefault="00E50FFE" w14:paraId="34F34D9D" w14:textId="77777777">
                  <w:pPr>
                    <w:jc w:val="center"/>
                    <w:rPr>
                      <w:rFonts w:ascii="Arial" w:hAnsi="Arial" w:cs="Arial"/>
                      <w:color w:val="FFFFFF"/>
                      <w:sz w:val="21"/>
                      <w:szCs w:val="21"/>
                    </w:rPr>
                  </w:pPr>
                  <w:r w:rsidRPr="00E50FFE">
                    <w:rPr>
                      <w:rFonts w:ascii="Arial" w:hAnsi="Arial" w:cs="Arial"/>
                      <w:color w:val="FFFFFF"/>
                      <w:sz w:val="16"/>
                      <w:szCs w:val="21"/>
                    </w:rPr>
                    <w:t>THE DEBTOR pays STA commission</w:t>
                  </w:r>
                </w:p>
              </w:tc>
              <w:tc>
                <w:tcPr>
                  <w:tcW w:w="850" w:type="dxa"/>
                  <w:shd w:val="clear" w:color="auto" w:fill="auto"/>
                  <w:vAlign w:val="center"/>
                </w:tcPr>
                <w:p w:rsidRPr="00040C7D" w:rsidR="00040C7D" w:rsidP="00DF6AE5" w:rsidRDefault="00946804" w14:paraId="604669C2" w14:textId="77777777">
                  <w:pPr>
                    <w:jc w:val="center"/>
                    <w:rPr>
                      <w:rFonts w:ascii="Arial" w:hAnsi="Arial" w:cs="Arial"/>
                      <w:b/>
                      <w:sz w:val="21"/>
                      <w:szCs w:val="21"/>
                    </w:rPr>
                  </w:pPr>
                  <w:r>
                    <w:rPr>
                      <w:rFonts w:ascii="Arial" w:hAnsi="Arial" w:cs="Arial"/>
                      <w:b/>
                      <w:sz w:val="21"/>
                      <w:szCs w:val="21"/>
                    </w:rPr>
                    <w:t>0</w:t>
                  </w:r>
                  <w:r w:rsidRPr="00040C7D" w:rsidR="00040C7D">
                    <w:rPr>
                      <w:rFonts w:ascii="Arial" w:hAnsi="Arial" w:cs="Arial"/>
                      <w:b/>
                      <w:sz w:val="21"/>
                      <w:szCs w:val="21"/>
                    </w:rPr>
                    <w:t>%</w:t>
                  </w:r>
                  <w:r w:rsidR="00E50FFE">
                    <w:rPr>
                      <w:rFonts w:ascii="Arial" w:hAnsi="Arial" w:cs="Arial"/>
                      <w:b/>
                      <w:sz w:val="21"/>
                      <w:szCs w:val="21"/>
                    </w:rPr>
                    <w:t>*</w:t>
                  </w:r>
                </w:p>
              </w:tc>
            </w:tr>
          </w:tbl>
          <w:p w:rsidR="00040C7D" w:rsidP="00DF6AE5" w:rsidRDefault="00040C7D" w14:paraId="4B94D5A5" w14:textId="77777777">
            <w:pPr>
              <w:jc w:val="center"/>
              <w:rPr>
                <w:rFonts w:ascii="Arial" w:hAnsi="Arial" w:cs="Arial"/>
                <w:i/>
                <w:sz w:val="16"/>
                <w:szCs w:val="16"/>
              </w:rPr>
            </w:pPr>
          </w:p>
          <w:p w:rsidRPr="00DF6AE5" w:rsidR="00946804" w:rsidP="00DF6AE5" w:rsidRDefault="00946804" w14:paraId="4DFD8983" w14:textId="77777777">
            <w:pPr>
              <w:jc w:val="center"/>
              <w:rPr>
                <w:rFonts w:ascii="Arial" w:hAnsi="Arial" w:cs="Arial"/>
                <w:sz w:val="16"/>
                <w:szCs w:val="18"/>
              </w:rPr>
            </w:pPr>
            <w:r w:rsidRPr="00DF6AE5">
              <w:rPr>
                <w:rFonts w:ascii="Arial" w:hAnsi="Arial" w:cs="Arial"/>
                <w:b/>
                <w:sz w:val="16"/>
                <w:szCs w:val="18"/>
                <w:lang w:eastAsia="en-GB"/>
              </w:rPr>
              <w:t>*</w:t>
            </w:r>
            <w:r w:rsidR="00F62218">
              <w:rPr>
                <w:rFonts w:ascii="Arial" w:hAnsi="Arial" w:cs="Arial"/>
                <w:b/>
                <w:sz w:val="16"/>
                <w:szCs w:val="18"/>
                <w:lang w:eastAsia="en-GB"/>
              </w:rPr>
              <w:t>CONDITIONS</w:t>
            </w:r>
            <w:r w:rsidRPr="00DF6AE5" w:rsidR="00E50FFE">
              <w:rPr>
                <w:rFonts w:ascii="Arial" w:hAnsi="Arial" w:cs="Arial"/>
                <w:b/>
                <w:sz w:val="16"/>
                <w:szCs w:val="18"/>
                <w:lang w:eastAsia="en-GB"/>
              </w:rPr>
              <w:t>:</w:t>
            </w:r>
            <w:r w:rsidRPr="00DF6AE5">
              <w:rPr>
                <w:rFonts w:ascii="Arial" w:hAnsi="Arial" w:cs="Arial"/>
                <w:b/>
                <w:sz w:val="16"/>
                <w:szCs w:val="18"/>
              </w:rPr>
              <w:t xml:space="preserve"> </w:t>
            </w:r>
            <w:r w:rsidRPr="00574DDC" w:rsidR="00574DDC">
              <w:rPr>
                <w:rFonts w:ascii="Arial" w:hAnsi="Arial" w:cs="Arial"/>
                <w:sz w:val="16"/>
                <w:szCs w:val="18"/>
              </w:rPr>
              <w:t>The STA commission is payable by THE CLIENT in the event that; you change the amount outstanding after placement or; you accept full-and-final settlement equal to or less than the amount placed or; you reject STA funded legal action to recover our commission from your debtor. See clause 6.3 overleaf.</w:t>
            </w:r>
          </w:p>
          <w:p w:rsidRPr="0006545B" w:rsidR="00946804" w:rsidP="00DF6AE5" w:rsidRDefault="00946804" w14:paraId="3DEEC669" w14:textId="77777777">
            <w:pPr>
              <w:jc w:val="center"/>
              <w:rPr>
                <w:rFonts w:ascii="Arial" w:hAnsi="Arial" w:cs="Arial"/>
                <w:i/>
                <w:sz w:val="16"/>
                <w:szCs w:val="16"/>
              </w:rPr>
            </w:pPr>
          </w:p>
        </w:tc>
        <w:tc>
          <w:tcPr>
            <w:tcW w:w="5458" w:type="dxa"/>
            <w:tcBorders>
              <w:left w:val="single" w:color="auto" w:sz="4" w:space="0"/>
            </w:tcBorders>
            <w:shd w:val="clear" w:color="auto" w:fill="DBE5F1"/>
          </w:tcPr>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85"/>
              <w:gridCol w:w="1417"/>
            </w:tblGrid>
            <w:tr w:rsidRPr="00040C7D" w:rsidR="001B7258" w:rsidTr="00DF6AE5" w14:paraId="3B2AA258" w14:textId="77777777">
              <w:trPr>
                <w:trHeight w:val="70"/>
                <w:jc w:val="center"/>
              </w:trPr>
              <w:tc>
                <w:tcPr>
                  <w:tcW w:w="1985" w:type="dxa"/>
                  <w:shd w:val="clear" w:color="auto" w:fill="17365D"/>
                  <w:vAlign w:val="center"/>
                </w:tcPr>
                <w:p w:rsidRPr="00040C7D" w:rsidR="001B7258" w:rsidP="00DF6AE5" w:rsidRDefault="001B7258" w14:paraId="3656B9AB" w14:textId="77777777">
                  <w:pPr>
                    <w:jc w:val="center"/>
                    <w:rPr>
                      <w:rFonts w:ascii="Arial" w:hAnsi="Arial" w:cs="Arial"/>
                      <w:b/>
                      <w:color w:val="FFFFFF"/>
                      <w:sz w:val="21"/>
                      <w:szCs w:val="21"/>
                    </w:rPr>
                  </w:pPr>
                </w:p>
              </w:tc>
              <w:tc>
                <w:tcPr>
                  <w:tcW w:w="1417" w:type="dxa"/>
                  <w:shd w:val="clear" w:color="auto" w:fill="17365D"/>
                  <w:vAlign w:val="center"/>
                </w:tcPr>
                <w:p w:rsidRPr="00040C7D" w:rsidR="001B7258" w:rsidP="00DF6AE5" w:rsidRDefault="001B7258" w14:paraId="6E198968" w14:textId="77777777">
                  <w:pPr>
                    <w:jc w:val="center"/>
                    <w:rPr>
                      <w:rFonts w:ascii="Arial" w:hAnsi="Arial" w:cs="Arial"/>
                      <w:b/>
                      <w:color w:val="FFFFFF"/>
                      <w:sz w:val="21"/>
                      <w:szCs w:val="21"/>
                    </w:rPr>
                  </w:pPr>
                  <w:r w:rsidRPr="00040C7D">
                    <w:rPr>
                      <w:rFonts w:ascii="Arial" w:hAnsi="Arial" w:cs="Arial"/>
                      <w:b/>
                      <w:color w:val="FFFFFF"/>
                      <w:sz w:val="21"/>
                      <w:szCs w:val="21"/>
                    </w:rPr>
                    <w:t>Rate</w:t>
                  </w:r>
                </w:p>
              </w:tc>
            </w:tr>
            <w:tr w:rsidRPr="00040C7D" w:rsidR="001B7258" w:rsidTr="006C49C0" w14:paraId="40005DB5" w14:textId="77777777">
              <w:trPr>
                <w:trHeight w:val="387"/>
                <w:jc w:val="center"/>
              </w:trPr>
              <w:tc>
                <w:tcPr>
                  <w:tcW w:w="1985" w:type="dxa"/>
                  <w:shd w:val="clear" w:color="auto" w:fill="17365D"/>
                  <w:vAlign w:val="center"/>
                </w:tcPr>
                <w:p w:rsidRPr="00040C7D" w:rsidR="001B7258" w:rsidP="00DF6AE5" w:rsidRDefault="00946804" w14:paraId="379295BC" w14:textId="77777777">
                  <w:pPr>
                    <w:jc w:val="center"/>
                    <w:rPr>
                      <w:rFonts w:ascii="Arial" w:hAnsi="Arial" w:cs="Arial"/>
                      <w:b/>
                      <w:color w:val="FFFFFF"/>
                      <w:sz w:val="21"/>
                      <w:szCs w:val="21"/>
                    </w:rPr>
                  </w:pPr>
                  <w:r>
                    <w:rPr>
                      <w:rFonts w:ascii="Arial" w:hAnsi="Arial" w:cs="Arial"/>
                      <w:b/>
                      <w:color w:val="FFFFFF"/>
                      <w:sz w:val="21"/>
                      <w:szCs w:val="21"/>
                    </w:rPr>
                    <w:t>Western Europe</w:t>
                  </w:r>
                </w:p>
              </w:tc>
              <w:tc>
                <w:tcPr>
                  <w:tcW w:w="1417" w:type="dxa"/>
                  <w:shd w:val="clear" w:color="auto" w:fill="auto"/>
                  <w:vAlign w:val="center"/>
                </w:tcPr>
                <w:p w:rsidRPr="00040C7D" w:rsidR="001B7258" w:rsidP="00DF6AE5" w:rsidRDefault="00946804" w14:paraId="7E7D68E6" w14:textId="77777777">
                  <w:pPr>
                    <w:jc w:val="center"/>
                    <w:rPr>
                      <w:rFonts w:ascii="Arial" w:hAnsi="Arial" w:cs="Arial"/>
                      <w:b/>
                      <w:sz w:val="21"/>
                      <w:szCs w:val="21"/>
                    </w:rPr>
                  </w:pPr>
                  <w:r>
                    <w:rPr>
                      <w:rFonts w:ascii="Arial" w:hAnsi="Arial" w:cs="Arial"/>
                      <w:b/>
                      <w:sz w:val="21"/>
                      <w:szCs w:val="21"/>
                    </w:rPr>
                    <w:t>8</w:t>
                  </w:r>
                  <w:r w:rsidRPr="00040C7D" w:rsidR="001B7258">
                    <w:rPr>
                      <w:rFonts w:ascii="Arial" w:hAnsi="Arial" w:cs="Arial"/>
                      <w:b/>
                      <w:sz w:val="21"/>
                      <w:szCs w:val="21"/>
                    </w:rPr>
                    <w:t>%</w:t>
                  </w:r>
                  <w:r w:rsidR="00E50FFE">
                    <w:rPr>
                      <w:rFonts w:ascii="Arial" w:hAnsi="Arial" w:cs="Arial"/>
                      <w:b/>
                      <w:sz w:val="21"/>
                      <w:szCs w:val="21"/>
                    </w:rPr>
                    <w:t>*</w:t>
                  </w:r>
                </w:p>
              </w:tc>
            </w:tr>
            <w:tr w:rsidRPr="00040C7D" w:rsidR="00946804" w:rsidTr="006C49C0" w14:paraId="7A2B9F27" w14:textId="77777777">
              <w:trPr>
                <w:trHeight w:val="419"/>
                <w:jc w:val="center"/>
              </w:trPr>
              <w:tc>
                <w:tcPr>
                  <w:tcW w:w="1985" w:type="dxa"/>
                  <w:shd w:val="clear" w:color="auto" w:fill="17365D"/>
                  <w:vAlign w:val="center"/>
                </w:tcPr>
                <w:p w:rsidRPr="00040C7D" w:rsidR="00946804" w:rsidP="00DF6AE5" w:rsidRDefault="00946804" w14:paraId="3D0D22BA" w14:textId="77777777">
                  <w:pPr>
                    <w:jc w:val="center"/>
                    <w:rPr>
                      <w:rFonts w:ascii="Arial" w:hAnsi="Arial" w:cs="Arial"/>
                      <w:b/>
                      <w:color w:val="FFFFFF"/>
                      <w:sz w:val="21"/>
                      <w:szCs w:val="21"/>
                    </w:rPr>
                  </w:pPr>
                  <w:r>
                    <w:rPr>
                      <w:rFonts w:ascii="Arial" w:hAnsi="Arial" w:cs="Arial"/>
                      <w:b/>
                      <w:color w:val="FFFFFF"/>
                      <w:sz w:val="21"/>
                      <w:szCs w:val="21"/>
                    </w:rPr>
                    <w:t>R.O.W.</w:t>
                  </w:r>
                </w:p>
              </w:tc>
              <w:tc>
                <w:tcPr>
                  <w:tcW w:w="1417" w:type="dxa"/>
                  <w:shd w:val="clear" w:color="auto" w:fill="auto"/>
                  <w:vAlign w:val="center"/>
                </w:tcPr>
                <w:p w:rsidR="00946804" w:rsidP="00DF6AE5" w:rsidRDefault="00946804" w14:paraId="5A1DB0F9" w14:textId="77777777">
                  <w:pPr>
                    <w:jc w:val="center"/>
                    <w:rPr>
                      <w:rFonts w:ascii="Arial" w:hAnsi="Arial" w:cs="Arial"/>
                      <w:b/>
                      <w:sz w:val="21"/>
                      <w:szCs w:val="21"/>
                    </w:rPr>
                  </w:pPr>
                  <w:r>
                    <w:rPr>
                      <w:rFonts w:ascii="Arial" w:hAnsi="Arial" w:cs="Arial"/>
                      <w:b/>
                      <w:sz w:val="21"/>
                      <w:szCs w:val="21"/>
                    </w:rPr>
                    <w:t>12%</w:t>
                  </w:r>
                  <w:r w:rsidR="00E50FFE">
                    <w:rPr>
                      <w:rFonts w:ascii="Arial" w:hAnsi="Arial" w:cs="Arial"/>
                      <w:b/>
                      <w:sz w:val="21"/>
                      <w:szCs w:val="21"/>
                    </w:rPr>
                    <w:t>*</w:t>
                  </w:r>
                </w:p>
              </w:tc>
            </w:tr>
          </w:tbl>
          <w:p w:rsidRPr="00DF6AE5" w:rsidR="00040C7D" w:rsidP="00DF6AE5" w:rsidRDefault="001B7258" w14:paraId="16806330" w14:textId="77777777">
            <w:pPr>
              <w:suppressAutoHyphens w:val="0"/>
              <w:jc w:val="center"/>
              <w:rPr>
                <w:rFonts w:ascii="Arial" w:hAnsi="Arial" w:cs="Arial"/>
                <w:sz w:val="16"/>
                <w:szCs w:val="18"/>
              </w:rPr>
            </w:pPr>
            <w:r>
              <w:rPr>
                <w:rFonts w:ascii="Arial" w:hAnsi="Arial" w:cs="Arial"/>
                <w:b/>
                <w:sz w:val="18"/>
                <w:szCs w:val="18"/>
                <w:lang w:eastAsia="en-GB"/>
              </w:rPr>
              <w:br/>
            </w:r>
            <w:r w:rsidRPr="00DF6AE5" w:rsidR="00DF6AE5">
              <w:rPr>
                <w:rFonts w:ascii="Arial" w:hAnsi="Arial" w:cs="Arial"/>
                <w:sz w:val="16"/>
                <w:szCs w:val="18"/>
              </w:rPr>
              <w:t xml:space="preserve">* Rate applies to debts collected by </w:t>
            </w:r>
            <w:r w:rsidRPr="00DF6AE5" w:rsidR="00DF6AE5">
              <w:rPr>
                <w:rFonts w:ascii="Arial" w:hAnsi="Arial" w:cs="Arial"/>
                <w:b/>
                <w:sz w:val="16"/>
                <w:szCs w:val="18"/>
              </w:rPr>
              <w:t>STA</w:t>
            </w:r>
            <w:r w:rsidRPr="00DF6AE5" w:rsidR="00DF6AE5">
              <w:rPr>
                <w:rFonts w:ascii="Arial" w:hAnsi="Arial" w:cs="Arial"/>
                <w:sz w:val="16"/>
                <w:szCs w:val="18"/>
              </w:rPr>
              <w:t xml:space="preserve"> from the UK. </w:t>
            </w:r>
            <w:r w:rsidRPr="005C28E5" w:rsidR="005C28E5">
              <w:rPr>
                <w:rFonts w:ascii="Arial" w:hAnsi="Arial" w:cs="Arial"/>
                <w:sz w:val="16"/>
                <w:szCs w:val="18"/>
              </w:rPr>
              <w:t xml:space="preserve">When </w:t>
            </w:r>
            <w:r w:rsidRPr="005C28E5" w:rsidR="005C28E5">
              <w:rPr>
                <w:rFonts w:ascii="Arial" w:hAnsi="Arial" w:cs="Arial"/>
                <w:b/>
                <w:sz w:val="16"/>
                <w:szCs w:val="18"/>
              </w:rPr>
              <w:t>STA</w:t>
            </w:r>
            <w:r w:rsidRPr="005C28E5" w:rsidR="005C28E5">
              <w:rPr>
                <w:rFonts w:ascii="Arial" w:hAnsi="Arial" w:cs="Arial"/>
                <w:sz w:val="16"/>
                <w:szCs w:val="18"/>
              </w:rPr>
              <w:t xml:space="preserve"> recommends to </w:t>
            </w:r>
            <w:r w:rsidRPr="005C28E5" w:rsidR="005C28E5">
              <w:rPr>
                <w:rFonts w:ascii="Arial" w:hAnsi="Arial" w:cs="Arial"/>
                <w:b/>
                <w:sz w:val="16"/>
                <w:szCs w:val="18"/>
              </w:rPr>
              <w:t>THE CLIENT</w:t>
            </w:r>
            <w:r w:rsidRPr="005C28E5" w:rsidR="005C28E5">
              <w:rPr>
                <w:rFonts w:ascii="Arial" w:hAnsi="Arial" w:cs="Arial"/>
                <w:sz w:val="16"/>
                <w:szCs w:val="18"/>
              </w:rPr>
              <w:t xml:space="preserve"> use of an international agent, </w:t>
            </w:r>
            <w:r w:rsidRPr="005C28E5" w:rsidR="005C28E5">
              <w:rPr>
                <w:rFonts w:ascii="Arial" w:hAnsi="Arial" w:cs="Arial"/>
                <w:b/>
                <w:sz w:val="16"/>
                <w:szCs w:val="18"/>
              </w:rPr>
              <w:t>STA</w:t>
            </w:r>
            <w:r w:rsidRPr="005C28E5" w:rsidR="005C28E5">
              <w:rPr>
                <w:rFonts w:ascii="Arial" w:hAnsi="Arial" w:cs="Arial"/>
                <w:sz w:val="16"/>
                <w:szCs w:val="18"/>
              </w:rPr>
              <w:t xml:space="preserve"> will seek </w:t>
            </w:r>
            <w:r w:rsidRPr="005C28E5" w:rsidR="005C28E5">
              <w:rPr>
                <w:rFonts w:ascii="Arial" w:hAnsi="Arial" w:cs="Arial"/>
                <w:b/>
                <w:sz w:val="16"/>
                <w:szCs w:val="18"/>
              </w:rPr>
              <w:t>THE CLIENT</w:t>
            </w:r>
            <w:r w:rsidRPr="005C28E5" w:rsidR="005C28E5">
              <w:rPr>
                <w:rFonts w:ascii="Arial" w:hAnsi="Arial" w:cs="Arial"/>
                <w:sz w:val="16"/>
                <w:szCs w:val="18"/>
              </w:rPr>
              <w:t xml:space="preserve"> approval for transfer of the debt and the increased commission rate to be charged.</w:t>
            </w:r>
          </w:p>
          <w:p w:rsidRPr="0006545B" w:rsidR="00040C7D" w:rsidP="00DF6AE5" w:rsidRDefault="00040C7D" w14:paraId="45FB0818" w14:textId="77777777">
            <w:pPr>
              <w:jc w:val="center"/>
              <w:rPr>
                <w:rFonts w:ascii="Arial" w:hAnsi="Arial" w:cs="Arial"/>
                <w:i/>
                <w:sz w:val="16"/>
                <w:szCs w:val="16"/>
              </w:rPr>
            </w:pPr>
          </w:p>
        </w:tc>
      </w:tr>
    </w:tbl>
    <w:p w:rsidR="00DF6AE5" w:rsidP="00DF6AE5" w:rsidRDefault="00DF6AE5" w14:paraId="049F31CB" w14:textId="77777777">
      <w:pPr>
        <w:rPr>
          <w:rFonts w:ascii="Arial" w:hAnsi="Arial" w:cs="Arial"/>
          <w:b/>
          <w:szCs w:val="26"/>
        </w:rPr>
      </w:pPr>
    </w:p>
    <w:p w:rsidRPr="003605AD" w:rsidR="001C4E9E" w:rsidP="001C4E9E" w:rsidRDefault="00DF6AE5" w14:paraId="49283697" w14:textId="77777777">
      <w:pPr>
        <w:shd w:val="clear" w:color="auto" w:fill="17365D"/>
        <w:rPr>
          <w:rFonts w:ascii="Arial" w:hAnsi="Arial" w:cs="Arial"/>
          <w:b/>
          <w:szCs w:val="26"/>
        </w:rPr>
      </w:pPr>
      <w:r>
        <w:rPr>
          <w:rFonts w:ascii="Arial" w:hAnsi="Arial" w:cs="Arial"/>
          <w:b/>
          <w:szCs w:val="26"/>
        </w:rPr>
        <w:t xml:space="preserve">THE CLIENT </w:t>
      </w:r>
      <w:r w:rsidRPr="003605AD" w:rsidR="001C4E9E">
        <w:rPr>
          <w:rFonts w:ascii="Arial" w:hAnsi="Arial" w:cs="Arial"/>
          <w:b/>
          <w:szCs w:val="26"/>
        </w:rPr>
        <w:t>BANK ACCOUNT DETAILS:</w:t>
      </w:r>
    </w:p>
    <w:p w:rsidRPr="003605AD" w:rsidR="001C4E9E" w:rsidP="001C4E9E" w:rsidRDefault="001C4E9E" w14:paraId="011F4452" w14:textId="77777777">
      <w:pPr>
        <w:jc w:val="both"/>
        <w:rPr>
          <w:rFonts w:ascii="Arial" w:hAnsi="Arial" w:cs="Arial"/>
          <w:sz w:val="20"/>
        </w:rPr>
      </w:pPr>
      <w:r w:rsidRPr="003605AD">
        <w:rPr>
          <w:rFonts w:ascii="Arial" w:hAnsi="Arial" w:cs="Arial"/>
          <w:sz w:val="20"/>
        </w:rPr>
        <w:t>Please provide the following information so that we can remit collected funds to you via BACS</w:t>
      </w:r>
    </w:p>
    <w:tbl>
      <w:tblPr>
        <w:tblW w:w="0" w:type="auto"/>
        <w:jc w:val="center"/>
        <w:tblLook w:val="01E0" w:firstRow="1" w:lastRow="1" w:firstColumn="1" w:lastColumn="1" w:noHBand="0" w:noVBand="0"/>
      </w:tblPr>
      <w:tblGrid>
        <w:gridCol w:w="1979"/>
        <w:gridCol w:w="3411"/>
        <w:gridCol w:w="1527"/>
        <w:gridCol w:w="306"/>
        <w:gridCol w:w="3395"/>
      </w:tblGrid>
      <w:tr w:rsidRPr="003605AD" w:rsidR="001C4E9E" w:rsidTr="003F0298" w14:paraId="1166DE7E" w14:textId="77777777">
        <w:trPr>
          <w:gridAfter w:val="1"/>
          <w:wAfter w:w="3395" w:type="dxa"/>
          <w:trHeight w:val="411"/>
          <w:jc w:val="center"/>
        </w:trPr>
        <w:tc>
          <w:tcPr>
            <w:tcW w:w="1979" w:type="dxa"/>
            <w:vAlign w:val="bottom"/>
          </w:tcPr>
          <w:p w:rsidRPr="003605AD" w:rsidR="001C4E9E" w:rsidP="003F0298" w:rsidRDefault="001C4E9E" w14:paraId="7F0D7315" w14:textId="77777777">
            <w:pPr>
              <w:jc w:val="both"/>
              <w:rPr>
                <w:rFonts w:ascii="Arial" w:hAnsi="Arial" w:cs="Arial"/>
                <w:sz w:val="20"/>
              </w:rPr>
            </w:pPr>
            <w:r>
              <w:rPr>
                <w:rFonts w:ascii="Arial" w:hAnsi="Arial" w:cs="Arial"/>
                <w:sz w:val="20"/>
              </w:rPr>
              <w:t>Account Name</w:t>
            </w:r>
            <w:r w:rsidRPr="003605AD">
              <w:rPr>
                <w:rFonts w:ascii="Arial" w:hAnsi="Arial" w:cs="Arial"/>
                <w:sz w:val="20"/>
              </w:rPr>
              <w:t>:</w:t>
            </w:r>
          </w:p>
        </w:tc>
        <w:tc>
          <w:tcPr>
            <w:tcW w:w="5244" w:type="dxa"/>
            <w:gridSpan w:val="3"/>
            <w:tcBorders>
              <w:bottom w:val="single" w:color="auto" w:sz="4" w:space="0"/>
            </w:tcBorders>
            <w:vAlign w:val="bottom"/>
          </w:tcPr>
          <w:p w:rsidRPr="003605AD" w:rsidR="001C4E9E" w:rsidP="003F0298" w:rsidRDefault="001C4E9E" w14:paraId="3BA75556" w14:textId="77777777">
            <w:pPr>
              <w:jc w:val="both"/>
              <w:rPr>
                <w:rFonts w:ascii="Arial" w:hAnsi="Arial" w:cs="Arial"/>
                <w:sz w:val="20"/>
              </w:rPr>
            </w:pPr>
            <w:r w:rsidRPr="003605AD">
              <w:rPr>
                <w:rFonts w:ascii="Arial" w:hAnsi="Arial" w:cs="Arial"/>
                <w:sz w:val="20"/>
              </w:rPr>
              <w:fldChar w:fldCharType="begin">
                <w:ffData>
                  <w:name w:val="Text2"/>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p>
        </w:tc>
      </w:tr>
      <w:tr w:rsidRPr="003605AD" w:rsidR="001C4E9E" w:rsidTr="003F0298" w14:paraId="116C897F" w14:textId="77777777">
        <w:trPr>
          <w:trHeight w:val="421"/>
          <w:jc w:val="center"/>
        </w:trPr>
        <w:tc>
          <w:tcPr>
            <w:tcW w:w="1979" w:type="dxa"/>
            <w:vAlign w:val="bottom"/>
          </w:tcPr>
          <w:p w:rsidRPr="003605AD" w:rsidR="001C4E9E" w:rsidP="003F0298" w:rsidRDefault="001C4E9E" w14:paraId="23B0F099" w14:textId="77777777">
            <w:pPr>
              <w:jc w:val="both"/>
              <w:rPr>
                <w:rFonts w:ascii="Arial" w:hAnsi="Arial" w:cs="Arial"/>
                <w:sz w:val="20"/>
              </w:rPr>
            </w:pPr>
            <w:r>
              <w:rPr>
                <w:rFonts w:ascii="Arial" w:hAnsi="Arial" w:cs="Arial"/>
                <w:sz w:val="20"/>
              </w:rPr>
              <w:t>Sort Code</w:t>
            </w:r>
            <w:r w:rsidRPr="003605AD">
              <w:rPr>
                <w:rFonts w:ascii="Arial" w:hAnsi="Arial" w:cs="Arial"/>
                <w:sz w:val="20"/>
              </w:rPr>
              <w:t>:</w:t>
            </w:r>
          </w:p>
        </w:tc>
        <w:tc>
          <w:tcPr>
            <w:tcW w:w="3411" w:type="dxa"/>
            <w:tcBorders>
              <w:top w:val="single" w:color="auto" w:sz="4" w:space="0"/>
              <w:bottom w:val="single" w:color="auto" w:sz="4" w:space="0"/>
            </w:tcBorders>
            <w:vAlign w:val="bottom"/>
          </w:tcPr>
          <w:p w:rsidRPr="003605AD" w:rsidR="001C4E9E" w:rsidP="003F0298" w:rsidRDefault="001C4E9E" w14:paraId="438A6092" w14:textId="77777777">
            <w:pPr>
              <w:jc w:val="both"/>
              <w:rPr>
                <w:rFonts w:ascii="Arial" w:hAnsi="Arial" w:cs="Arial"/>
                <w:sz w:val="20"/>
              </w:rPr>
            </w:pPr>
            <w:r w:rsidRPr="003605AD">
              <w:rPr>
                <w:rFonts w:ascii="Arial" w:hAnsi="Arial" w:cs="Arial"/>
                <w:sz w:val="20"/>
              </w:rPr>
              <w:fldChar w:fldCharType="begin">
                <w:ffData>
                  <w:name w:val="Text4"/>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p>
        </w:tc>
        <w:tc>
          <w:tcPr>
            <w:tcW w:w="1527" w:type="dxa"/>
            <w:vAlign w:val="bottom"/>
          </w:tcPr>
          <w:p w:rsidRPr="003605AD" w:rsidR="001C4E9E" w:rsidP="003F0298" w:rsidRDefault="001C4E9E" w14:paraId="23BAE4B6" w14:textId="77777777">
            <w:pPr>
              <w:jc w:val="both"/>
              <w:rPr>
                <w:rFonts w:ascii="Arial" w:hAnsi="Arial" w:cs="Arial"/>
                <w:sz w:val="20"/>
              </w:rPr>
            </w:pPr>
            <w:r>
              <w:rPr>
                <w:rFonts w:ascii="Arial" w:hAnsi="Arial" w:cs="Arial"/>
                <w:sz w:val="20"/>
              </w:rPr>
              <w:t>Account No</w:t>
            </w:r>
            <w:r w:rsidRPr="003605AD">
              <w:rPr>
                <w:rFonts w:ascii="Arial" w:hAnsi="Arial" w:cs="Arial"/>
                <w:sz w:val="20"/>
              </w:rPr>
              <w:t>:</w:t>
            </w:r>
          </w:p>
        </w:tc>
        <w:tc>
          <w:tcPr>
            <w:tcW w:w="3701" w:type="dxa"/>
            <w:gridSpan w:val="2"/>
            <w:tcBorders>
              <w:top w:val="single" w:color="auto" w:sz="4" w:space="0"/>
              <w:bottom w:val="single" w:color="auto" w:sz="4" w:space="0"/>
            </w:tcBorders>
            <w:vAlign w:val="bottom"/>
          </w:tcPr>
          <w:p w:rsidRPr="003605AD" w:rsidR="001C4E9E" w:rsidP="003F0298" w:rsidRDefault="001C4E9E" w14:paraId="482D700E" w14:textId="77777777">
            <w:pPr>
              <w:jc w:val="both"/>
              <w:rPr>
                <w:rFonts w:ascii="Arial" w:hAnsi="Arial" w:cs="Arial"/>
                <w:sz w:val="20"/>
              </w:rPr>
            </w:pPr>
            <w:r w:rsidRPr="003605AD">
              <w:rPr>
                <w:rFonts w:ascii="Arial" w:hAnsi="Arial" w:cs="Arial"/>
                <w:sz w:val="20"/>
              </w:rPr>
              <w:fldChar w:fldCharType="begin">
                <w:ffData>
                  <w:name w:val="Text5"/>
                  <w:enabled/>
                  <w:calcOnExit w:val="0"/>
                  <w:textInput/>
                </w:ffData>
              </w:fldChar>
            </w:r>
            <w:r w:rsidRPr="003605AD">
              <w:rPr>
                <w:rFonts w:ascii="Arial" w:hAnsi="Arial" w:cs="Arial"/>
                <w:sz w:val="20"/>
              </w:rPr>
              <w:instrText xml:space="preserve"> FORMTEXT </w:instrText>
            </w:r>
            <w:r w:rsidRPr="003605AD">
              <w:rPr>
                <w:rFonts w:ascii="Arial" w:hAnsi="Arial" w:cs="Arial"/>
                <w:sz w:val="20"/>
              </w:rPr>
            </w:r>
            <w:r w:rsidRPr="003605AD">
              <w:rPr>
                <w:rFonts w:ascii="Arial" w:hAnsi="Arial" w:cs="Arial"/>
                <w:sz w:val="20"/>
              </w:rPr>
              <w:fldChar w:fldCharType="separate"/>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t> </w:t>
            </w:r>
            <w:r w:rsidRPr="003605AD">
              <w:rPr>
                <w:rFonts w:ascii="Arial" w:hAnsi="Arial" w:cs="Arial"/>
                <w:sz w:val="20"/>
              </w:rPr>
              <w:fldChar w:fldCharType="end"/>
            </w:r>
          </w:p>
        </w:tc>
      </w:tr>
    </w:tbl>
    <w:p w:rsidRPr="006A42BB" w:rsidR="001C4E9E" w:rsidP="001C4E9E" w:rsidRDefault="001C4E9E" w14:paraId="53128261" w14:textId="77777777">
      <w:pPr>
        <w:jc w:val="both"/>
        <w:rPr>
          <w:rFonts w:ascii="Arial" w:hAnsi="Arial" w:cs="Arial"/>
        </w:rPr>
      </w:pPr>
    </w:p>
    <w:p w:rsidRPr="006A42BB" w:rsidR="001C4E9E" w:rsidP="004629B7" w:rsidRDefault="001C4E9E" w14:paraId="2F29D9E8" w14:textId="77777777">
      <w:pPr>
        <w:shd w:val="clear" w:color="auto" w:fill="DBE5F1"/>
        <w:jc w:val="both"/>
        <w:rPr>
          <w:rFonts w:ascii="Arial" w:hAnsi="Arial" w:cs="Arial"/>
          <w:sz w:val="20"/>
          <w:szCs w:val="20"/>
        </w:rPr>
      </w:pPr>
      <w:r w:rsidRPr="005422B7">
        <w:rPr>
          <w:rFonts w:ascii="Arial" w:hAnsi="Arial" w:cs="Arial"/>
          <w:sz w:val="22"/>
          <w:szCs w:val="28"/>
          <w:shd w:val="clear" w:color="auto" w:fill="17365D"/>
        </w:rPr>
        <w:t>NOTE</w:t>
      </w:r>
      <w:r w:rsidRPr="007C04B7">
        <w:rPr>
          <w:rFonts w:ascii="Arial" w:hAnsi="Arial" w:cs="Arial"/>
          <w:szCs w:val="28"/>
          <w:shd w:val="clear" w:color="auto" w:fill="17365D"/>
        </w:rPr>
        <w:t>:</w:t>
      </w:r>
      <w:r>
        <w:rPr>
          <w:rFonts w:ascii="Arial" w:hAnsi="Arial" w:cs="Arial"/>
          <w:szCs w:val="28"/>
          <w:shd w:val="clear" w:color="auto" w:fill="17365D"/>
        </w:rPr>
        <w:t xml:space="preserve"> </w:t>
      </w:r>
      <w:r w:rsidRPr="007C04B7">
        <w:rPr>
          <w:rFonts w:ascii="Arial" w:hAnsi="Arial" w:cs="Arial"/>
          <w:sz w:val="22"/>
        </w:rPr>
        <w:t xml:space="preserve"> </w:t>
      </w:r>
      <w:r w:rsidRPr="006A42BB">
        <w:rPr>
          <w:rFonts w:ascii="Arial" w:hAnsi="Arial" w:cs="Arial"/>
          <w:sz w:val="20"/>
          <w:szCs w:val="20"/>
        </w:rPr>
        <w:t>Your attention is drawn to our terms and conditions overleaf which form part of this Service Agreement</w:t>
      </w:r>
    </w:p>
    <w:p w:rsidRPr="001C4E9E" w:rsidR="007B2D41" w:rsidRDefault="007B2D41" w14:paraId="62486C05" w14:textId="77777777">
      <w:pPr>
        <w:jc w:val="both"/>
        <w:rPr>
          <w:rFonts w:ascii="Arial" w:hAnsi="Arial" w:cs="Arial"/>
          <w:sz w:val="4"/>
          <w:szCs w:val="4"/>
        </w:rPr>
      </w:pPr>
    </w:p>
    <w:tbl>
      <w:tblPr>
        <w:tblW w:w="0" w:type="auto"/>
        <w:tblInd w:w="108" w:type="dxa"/>
        <w:tblLayout w:type="fixed"/>
        <w:tblLook w:val="0000" w:firstRow="0" w:lastRow="0" w:firstColumn="0" w:lastColumn="0" w:noHBand="0" w:noVBand="0"/>
      </w:tblPr>
      <w:tblGrid>
        <w:gridCol w:w="1276"/>
        <w:gridCol w:w="3227"/>
        <w:gridCol w:w="1167"/>
        <w:gridCol w:w="1242"/>
        <w:gridCol w:w="3720"/>
      </w:tblGrid>
      <w:tr w:rsidRPr="001C4E9E" w:rsidR="007B2D41" w:rsidTr="00DF6AE5" w14:paraId="0E71DBDE" w14:textId="77777777">
        <w:trPr>
          <w:trHeight w:val="1247"/>
        </w:trPr>
        <w:tc>
          <w:tcPr>
            <w:tcW w:w="4503" w:type="dxa"/>
            <w:gridSpan w:val="2"/>
            <w:tcBorders>
              <w:bottom w:val="single" w:color="000000" w:sz="4" w:space="0"/>
            </w:tcBorders>
            <w:shd w:val="clear" w:color="auto" w:fill="auto"/>
          </w:tcPr>
          <w:p w:rsidR="007B2D41" w:rsidRDefault="007B2D41" w14:paraId="4101652C" w14:textId="77777777">
            <w:pPr>
              <w:snapToGrid w:val="0"/>
              <w:jc w:val="both"/>
              <w:rPr>
                <w:rFonts w:ascii="Arial" w:hAnsi="Arial" w:cs="Arial"/>
                <w:sz w:val="20"/>
                <w:szCs w:val="20"/>
              </w:rPr>
            </w:pPr>
          </w:p>
          <w:p w:rsidRPr="001C4E9E" w:rsidR="007508C5" w:rsidP="007508C5" w:rsidRDefault="007508C5" w14:paraId="32B99C3A" w14:textId="77777777">
            <w:pPr>
              <w:snapToGrid w:val="0"/>
              <w:jc w:val="both"/>
              <w:rPr>
                <w:rFonts w:ascii="Arial" w:hAnsi="Arial" w:cs="Arial"/>
                <w:b/>
                <w:sz w:val="20"/>
                <w:szCs w:val="20"/>
              </w:rPr>
            </w:pPr>
            <w:r w:rsidRPr="001C4E9E">
              <w:rPr>
                <w:rFonts w:ascii="Arial" w:hAnsi="Arial" w:cs="Arial"/>
                <w:sz w:val="20"/>
                <w:szCs w:val="20"/>
              </w:rPr>
              <w:t xml:space="preserve">Signed for and on behalf of </w:t>
            </w:r>
            <w:r w:rsidR="00DF6AE5">
              <w:rPr>
                <w:rFonts w:ascii="Arial" w:hAnsi="Arial" w:cs="Arial"/>
                <w:b/>
                <w:sz w:val="20"/>
                <w:szCs w:val="20"/>
              </w:rPr>
              <w:t>THE CLIENT:</w:t>
            </w:r>
          </w:p>
          <w:p w:rsidR="00B045E5" w:rsidRDefault="00B045E5" w14:paraId="4B99056E" w14:textId="77777777">
            <w:pPr>
              <w:snapToGrid w:val="0"/>
              <w:jc w:val="both"/>
              <w:rPr>
                <w:rFonts w:ascii="Arial" w:hAnsi="Arial" w:cs="Arial"/>
                <w:sz w:val="20"/>
                <w:szCs w:val="20"/>
              </w:rPr>
            </w:pPr>
          </w:p>
          <w:p w:rsidR="007508C5" w:rsidRDefault="007508C5" w14:paraId="1299C43A" w14:textId="77777777">
            <w:pPr>
              <w:snapToGrid w:val="0"/>
              <w:jc w:val="both"/>
              <w:rPr>
                <w:rFonts w:ascii="Arial" w:hAnsi="Arial" w:cs="Arial"/>
                <w:sz w:val="20"/>
                <w:szCs w:val="20"/>
              </w:rPr>
            </w:pPr>
          </w:p>
          <w:p w:rsidR="007508C5" w:rsidRDefault="007508C5" w14:paraId="4DDBEF00" w14:textId="77777777">
            <w:pPr>
              <w:snapToGrid w:val="0"/>
              <w:jc w:val="both"/>
              <w:rPr>
                <w:rFonts w:ascii="Arial" w:hAnsi="Arial" w:cs="Arial"/>
                <w:sz w:val="20"/>
                <w:szCs w:val="20"/>
              </w:rPr>
            </w:pPr>
          </w:p>
          <w:p w:rsidRPr="001C4E9E" w:rsidR="007508C5" w:rsidRDefault="007508C5" w14:paraId="3461D779" w14:textId="77777777">
            <w:pPr>
              <w:snapToGrid w:val="0"/>
              <w:jc w:val="both"/>
              <w:rPr>
                <w:rFonts w:ascii="Arial" w:hAnsi="Arial" w:cs="Arial"/>
                <w:sz w:val="20"/>
                <w:szCs w:val="20"/>
              </w:rPr>
            </w:pPr>
          </w:p>
        </w:tc>
        <w:tc>
          <w:tcPr>
            <w:tcW w:w="1167" w:type="dxa"/>
            <w:shd w:val="clear" w:color="auto" w:fill="auto"/>
          </w:tcPr>
          <w:p w:rsidRPr="001C4E9E" w:rsidR="007B2D41" w:rsidRDefault="007B2D41" w14:paraId="3CF2D8B6" w14:textId="77777777">
            <w:pPr>
              <w:snapToGrid w:val="0"/>
              <w:jc w:val="both"/>
              <w:rPr>
                <w:rFonts w:ascii="Arial" w:hAnsi="Arial" w:cs="Arial"/>
                <w:sz w:val="20"/>
                <w:szCs w:val="20"/>
              </w:rPr>
            </w:pPr>
          </w:p>
        </w:tc>
        <w:tc>
          <w:tcPr>
            <w:tcW w:w="4962" w:type="dxa"/>
            <w:gridSpan w:val="2"/>
            <w:tcBorders>
              <w:bottom w:val="single" w:color="000000" w:sz="4" w:space="0"/>
            </w:tcBorders>
            <w:shd w:val="clear" w:color="auto" w:fill="auto"/>
          </w:tcPr>
          <w:p w:rsidR="007508C5" w:rsidRDefault="007508C5" w14:paraId="0FB78278" w14:textId="77777777">
            <w:pPr>
              <w:snapToGrid w:val="0"/>
              <w:jc w:val="center"/>
              <w:rPr>
                <w:rFonts w:ascii="Arial" w:hAnsi="Arial" w:cs="Arial"/>
                <w:sz w:val="20"/>
                <w:szCs w:val="20"/>
              </w:rPr>
            </w:pPr>
          </w:p>
          <w:p w:rsidRPr="001C4E9E" w:rsidR="007B2D41" w:rsidP="00DF6AE5" w:rsidRDefault="007508C5" w14:paraId="3BA5D69F" w14:textId="77777777">
            <w:pPr>
              <w:snapToGrid w:val="0"/>
              <w:rPr>
                <w:rFonts w:ascii="Arial" w:hAnsi="Arial" w:cs="Arial"/>
                <w:sz w:val="20"/>
                <w:szCs w:val="20"/>
              </w:rPr>
            </w:pPr>
            <w:r w:rsidRPr="001C4E9E">
              <w:rPr>
                <w:rFonts w:ascii="Arial" w:hAnsi="Arial" w:cs="Arial"/>
                <w:sz w:val="20"/>
                <w:szCs w:val="20"/>
              </w:rPr>
              <w:t>Signed for and on behalf of</w:t>
            </w:r>
            <w:r w:rsidRPr="001C4E9E">
              <w:rPr>
                <w:rFonts w:ascii="Arial" w:hAnsi="Arial" w:cs="Arial"/>
                <w:b/>
                <w:sz w:val="20"/>
                <w:szCs w:val="20"/>
              </w:rPr>
              <w:t xml:space="preserve"> STA </w:t>
            </w:r>
            <w:r w:rsidR="00DF6AE5">
              <w:rPr>
                <w:rFonts w:ascii="Arial" w:hAnsi="Arial" w:cs="Arial"/>
                <w:b/>
                <w:sz w:val="20"/>
                <w:szCs w:val="20"/>
              </w:rPr>
              <w:t>INTERNATIONAL:</w:t>
            </w:r>
          </w:p>
        </w:tc>
      </w:tr>
      <w:tr w:rsidRPr="001C4E9E" w:rsidR="007B2D41" w:rsidTr="00DF6AE5" w14:paraId="5E1FA156" w14:textId="77777777">
        <w:tc>
          <w:tcPr>
            <w:tcW w:w="4503" w:type="dxa"/>
            <w:gridSpan w:val="2"/>
            <w:tcBorders>
              <w:top w:val="single" w:color="000000" w:sz="4" w:space="0"/>
            </w:tcBorders>
            <w:shd w:val="clear" w:color="auto" w:fill="auto"/>
          </w:tcPr>
          <w:p w:rsidRPr="001C4E9E" w:rsidR="007B2D41" w:rsidRDefault="007B2D41" w14:paraId="6851B5C9" w14:textId="77777777">
            <w:pPr>
              <w:jc w:val="both"/>
              <w:rPr>
                <w:rFonts w:ascii="Arial" w:hAnsi="Arial" w:cs="Arial"/>
                <w:sz w:val="20"/>
                <w:szCs w:val="20"/>
              </w:rPr>
            </w:pPr>
            <w:r w:rsidRPr="001C4E9E">
              <w:rPr>
                <w:rFonts w:ascii="Arial" w:hAnsi="Arial" w:cs="Arial"/>
                <w:sz w:val="20"/>
                <w:szCs w:val="20"/>
              </w:rPr>
              <w:t>AUTHORISED SIGNATORY</w:t>
            </w:r>
          </w:p>
        </w:tc>
        <w:tc>
          <w:tcPr>
            <w:tcW w:w="1167" w:type="dxa"/>
            <w:shd w:val="clear" w:color="auto" w:fill="auto"/>
          </w:tcPr>
          <w:p w:rsidRPr="001C4E9E" w:rsidR="007B2D41" w:rsidRDefault="007B2D41" w14:paraId="1FC39945" w14:textId="77777777">
            <w:pPr>
              <w:snapToGrid w:val="0"/>
              <w:jc w:val="both"/>
              <w:rPr>
                <w:rFonts w:ascii="Arial" w:hAnsi="Arial" w:cs="Arial"/>
              </w:rPr>
            </w:pPr>
          </w:p>
        </w:tc>
        <w:tc>
          <w:tcPr>
            <w:tcW w:w="4962" w:type="dxa"/>
            <w:gridSpan w:val="2"/>
            <w:tcBorders>
              <w:top w:val="single" w:color="000000" w:sz="4" w:space="0"/>
            </w:tcBorders>
            <w:shd w:val="clear" w:color="auto" w:fill="auto"/>
          </w:tcPr>
          <w:p w:rsidRPr="001C4E9E" w:rsidR="007B2D41" w:rsidP="007508C5" w:rsidRDefault="007B2D41" w14:paraId="26F345C7" w14:textId="77777777">
            <w:pPr>
              <w:tabs>
                <w:tab w:val="left" w:pos="3007"/>
              </w:tabs>
              <w:jc w:val="both"/>
              <w:rPr>
                <w:rFonts w:ascii="Arial" w:hAnsi="Arial" w:cs="Arial"/>
                <w:sz w:val="20"/>
                <w:szCs w:val="20"/>
              </w:rPr>
            </w:pPr>
            <w:r w:rsidRPr="001C4E9E">
              <w:rPr>
                <w:rFonts w:ascii="Arial" w:hAnsi="Arial" w:cs="Arial"/>
                <w:sz w:val="20"/>
                <w:szCs w:val="20"/>
              </w:rPr>
              <w:t>AUTHORISED SIGNATORY</w:t>
            </w:r>
            <w:r w:rsidR="007508C5">
              <w:rPr>
                <w:rFonts w:ascii="Arial" w:hAnsi="Arial" w:cs="Arial"/>
                <w:sz w:val="20"/>
                <w:szCs w:val="20"/>
              </w:rPr>
              <w:tab/>
            </w:r>
          </w:p>
        </w:tc>
      </w:tr>
      <w:tr w:rsidRPr="001C4E9E" w:rsidR="007B2D41" w:rsidTr="00DF6AE5" w14:paraId="0FEE2DB9" w14:textId="77777777">
        <w:trPr>
          <w:trHeight w:val="454"/>
        </w:trPr>
        <w:tc>
          <w:tcPr>
            <w:tcW w:w="1276" w:type="dxa"/>
            <w:shd w:val="clear" w:color="auto" w:fill="auto"/>
            <w:vAlign w:val="bottom"/>
          </w:tcPr>
          <w:p w:rsidRPr="001C4E9E" w:rsidR="007B2D41" w:rsidP="0006545B" w:rsidRDefault="007B2D41" w14:paraId="022EA57E" w14:textId="77777777">
            <w:pPr>
              <w:snapToGrid w:val="0"/>
              <w:rPr>
                <w:rFonts w:ascii="Arial" w:hAnsi="Arial" w:cs="Arial"/>
                <w:sz w:val="20"/>
                <w:szCs w:val="20"/>
              </w:rPr>
            </w:pPr>
            <w:r w:rsidRPr="001C4E9E">
              <w:rPr>
                <w:rFonts w:ascii="Arial" w:hAnsi="Arial" w:cs="Arial"/>
                <w:sz w:val="20"/>
                <w:szCs w:val="20"/>
              </w:rPr>
              <w:t>Full Name</w:t>
            </w:r>
          </w:p>
        </w:tc>
        <w:tc>
          <w:tcPr>
            <w:tcW w:w="3227" w:type="dxa"/>
            <w:tcBorders>
              <w:bottom w:val="single" w:color="000000" w:sz="4" w:space="0"/>
            </w:tcBorders>
            <w:shd w:val="clear" w:color="auto" w:fill="auto"/>
            <w:vAlign w:val="bottom"/>
          </w:tcPr>
          <w:p w:rsidRPr="001C4E9E" w:rsidR="007B2D41" w:rsidP="0006545B" w:rsidRDefault="007B2D41" w14:paraId="0562CB0E" w14:textId="77777777">
            <w:pPr>
              <w:snapToGrid w:val="0"/>
              <w:rPr>
                <w:rFonts w:ascii="Arial" w:hAnsi="Arial" w:cs="Arial"/>
                <w:sz w:val="28"/>
                <w:szCs w:val="28"/>
              </w:rPr>
            </w:pPr>
          </w:p>
        </w:tc>
        <w:tc>
          <w:tcPr>
            <w:tcW w:w="1167" w:type="dxa"/>
            <w:shd w:val="clear" w:color="auto" w:fill="auto"/>
            <w:vAlign w:val="bottom"/>
          </w:tcPr>
          <w:p w:rsidRPr="001C4E9E" w:rsidR="007B2D41" w:rsidP="0006545B" w:rsidRDefault="007B2D41" w14:paraId="34CE0A41" w14:textId="77777777">
            <w:pPr>
              <w:snapToGrid w:val="0"/>
              <w:rPr>
                <w:rFonts w:ascii="Arial" w:hAnsi="Arial" w:cs="Arial"/>
                <w:sz w:val="20"/>
                <w:szCs w:val="20"/>
              </w:rPr>
            </w:pPr>
          </w:p>
        </w:tc>
        <w:tc>
          <w:tcPr>
            <w:tcW w:w="1242" w:type="dxa"/>
            <w:shd w:val="clear" w:color="auto" w:fill="auto"/>
            <w:vAlign w:val="bottom"/>
          </w:tcPr>
          <w:p w:rsidRPr="001C4E9E" w:rsidR="007B2D41" w:rsidP="0006545B" w:rsidRDefault="007B2D41" w14:paraId="650C5F59" w14:textId="77777777">
            <w:pPr>
              <w:snapToGrid w:val="0"/>
              <w:rPr>
                <w:rFonts w:ascii="Arial" w:hAnsi="Arial" w:cs="Arial"/>
                <w:sz w:val="20"/>
                <w:szCs w:val="20"/>
              </w:rPr>
            </w:pPr>
            <w:r w:rsidRPr="001C4E9E">
              <w:rPr>
                <w:rFonts w:ascii="Arial" w:hAnsi="Arial" w:cs="Arial"/>
                <w:sz w:val="20"/>
                <w:szCs w:val="20"/>
              </w:rPr>
              <w:t>Full Name</w:t>
            </w:r>
          </w:p>
        </w:tc>
        <w:tc>
          <w:tcPr>
            <w:tcW w:w="3720" w:type="dxa"/>
            <w:tcBorders>
              <w:bottom w:val="single" w:color="000000" w:sz="4" w:space="0"/>
            </w:tcBorders>
            <w:shd w:val="clear" w:color="auto" w:fill="auto"/>
            <w:vAlign w:val="center"/>
          </w:tcPr>
          <w:p w:rsidRPr="001C4E9E" w:rsidR="007B2D41" w:rsidRDefault="007B2D41" w14:paraId="62EBF3C5" w14:textId="77777777">
            <w:pPr>
              <w:snapToGrid w:val="0"/>
              <w:jc w:val="center"/>
              <w:rPr>
                <w:rFonts w:ascii="Arial" w:hAnsi="Arial" w:cs="Arial"/>
                <w:sz w:val="28"/>
                <w:szCs w:val="28"/>
              </w:rPr>
            </w:pPr>
          </w:p>
        </w:tc>
      </w:tr>
      <w:tr w:rsidRPr="001C4E9E" w:rsidR="007B2D41" w:rsidTr="00DF6AE5" w14:paraId="07FB3BEE" w14:textId="77777777">
        <w:trPr>
          <w:trHeight w:val="454"/>
        </w:trPr>
        <w:tc>
          <w:tcPr>
            <w:tcW w:w="1276" w:type="dxa"/>
            <w:shd w:val="clear" w:color="auto" w:fill="auto"/>
            <w:vAlign w:val="bottom"/>
          </w:tcPr>
          <w:p w:rsidRPr="001C4E9E" w:rsidR="007B2D41" w:rsidP="0006545B" w:rsidRDefault="007B2D41" w14:paraId="5EF8972E" w14:textId="77777777">
            <w:pPr>
              <w:snapToGrid w:val="0"/>
              <w:rPr>
                <w:rFonts w:ascii="Arial" w:hAnsi="Arial" w:cs="Arial"/>
                <w:sz w:val="20"/>
                <w:szCs w:val="20"/>
              </w:rPr>
            </w:pPr>
            <w:r w:rsidRPr="001C4E9E">
              <w:rPr>
                <w:rFonts w:ascii="Arial" w:hAnsi="Arial" w:cs="Arial"/>
                <w:sz w:val="20"/>
                <w:szCs w:val="20"/>
              </w:rPr>
              <w:t>Position</w:t>
            </w:r>
          </w:p>
        </w:tc>
        <w:tc>
          <w:tcPr>
            <w:tcW w:w="3227" w:type="dxa"/>
            <w:tcBorders>
              <w:bottom w:val="single" w:color="000000" w:sz="4" w:space="0"/>
            </w:tcBorders>
            <w:shd w:val="clear" w:color="auto" w:fill="auto"/>
            <w:vAlign w:val="bottom"/>
          </w:tcPr>
          <w:p w:rsidRPr="001C4E9E" w:rsidR="007B2D41" w:rsidP="0006545B" w:rsidRDefault="007B2D41" w14:paraId="6D98A12B" w14:textId="77777777">
            <w:pPr>
              <w:snapToGrid w:val="0"/>
              <w:rPr>
                <w:rFonts w:ascii="Arial" w:hAnsi="Arial" w:cs="Arial"/>
                <w:sz w:val="28"/>
                <w:szCs w:val="28"/>
              </w:rPr>
            </w:pPr>
          </w:p>
        </w:tc>
        <w:tc>
          <w:tcPr>
            <w:tcW w:w="1167" w:type="dxa"/>
            <w:shd w:val="clear" w:color="auto" w:fill="auto"/>
            <w:vAlign w:val="bottom"/>
          </w:tcPr>
          <w:p w:rsidRPr="001C4E9E" w:rsidR="007B2D41" w:rsidP="0006545B" w:rsidRDefault="007B2D41" w14:paraId="2946DB82" w14:textId="77777777">
            <w:pPr>
              <w:snapToGrid w:val="0"/>
              <w:rPr>
                <w:rFonts w:ascii="Arial" w:hAnsi="Arial" w:cs="Arial"/>
                <w:sz w:val="20"/>
                <w:szCs w:val="20"/>
              </w:rPr>
            </w:pPr>
          </w:p>
        </w:tc>
        <w:tc>
          <w:tcPr>
            <w:tcW w:w="1242" w:type="dxa"/>
            <w:shd w:val="clear" w:color="auto" w:fill="auto"/>
            <w:vAlign w:val="bottom"/>
          </w:tcPr>
          <w:p w:rsidRPr="001C4E9E" w:rsidR="007B2D41" w:rsidP="0006545B" w:rsidRDefault="007B2D41" w14:paraId="45315AB3" w14:textId="77777777">
            <w:pPr>
              <w:snapToGrid w:val="0"/>
              <w:rPr>
                <w:rFonts w:ascii="Arial" w:hAnsi="Arial" w:cs="Arial"/>
                <w:sz w:val="20"/>
                <w:szCs w:val="20"/>
              </w:rPr>
            </w:pPr>
            <w:r w:rsidRPr="001C4E9E">
              <w:rPr>
                <w:rFonts w:ascii="Arial" w:hAnsi="Arial" w:cs="Arial"/>
                <w:sz w:val="20"/>
                <w:szCs w:val="20"/>
              </w:rPr>
              <w:t>Position</w:t>
            </w:r>
          </w:p>
        </w:tc>
        <w:tc>
          <w:tcPr>
            <w:tcW w:w="3720" w:type="dxa"/>
            <w:tcBorders>
              <w:bottom w:val="single" w:color="000000" w:sz="4" w:space="0"/>
            </w:tcBorders>
            <w:shd w:val="clear" w:color="auto" w:fill="auto"/>
            <w:vAlign w:val="center"/>
          </w:tcPr>
          <w:p w:rsidRPr="001C4E9E" w:rsidR="007B2D41" w:rsidRDefault="007B2D41" w14:paraId="5997CC1D" w14:textId="77777777">
            <w:pPr>
              <w:snapToGrid w:val="0"/>
              <w:jc w:val="center"/>
              <w:rPr>
                <w:rFonts w:ascii="Arial" w:hAnsi="Arial" w:cs="Arial"/>
                <w:sz w:val="28"/>
                <w:szCs w:val="28"/>
              </w:rPr>
            </w:pPr>
          </w:p>
        </w:tc>
      </w:tr>
    </w:tbl>
    <w:p w:rsidR="00D97C1D" w:rsidP="00D97C1D" w:rsidRDefault="00D97C1D" w14:paraId="110FFD37" w14:textId="77777777">
      <w:pPr>
        <w:autoSpaceDE w:val="0"/>
        <w:autoSpaceDN w:val="0"/>
        <w:adjustRightInd w:val="0"/>
        <w:jc w:val="both"/>
        <w:rPr>
          <w:rFonts w:ascii="Arial" w:hAnsi="Arial" w:cs="Arial"/>
          <w:b/>
          <w:bCs/>
          <w:sz w:val="6"/>
          <w:szCs w:val="14"/>
          <w:lang w:val="en-US"/>
        </w:rPr>
        <w:sectPr w:rsidR="00D97C1D" w:rsidSect="005060E3">
          <w:headerReference w:type="default" r:id="rId10"/>
          <w:footerReference w:type="default" r:id="rId11"/>
          <w:type w:val="continuous"/>
          <w:pgSz w:w="11907" w:h="16840" w:orient="portrait" w:code="9"/>
          <w:pgMar w:top="284" w:right="595" w:bottom="284" w:left="397" w:header="454" w:footer="0" w:gutter="0"/>
          <w:cols w:equalWidth="0" w:space="720">
            <w:col w:w="10915" w:space="720"/>
          </w:cols>
          <w:titlePg/>
          <w:docGrid w:linePitch="360"/>
        </w:sectPr>
      </w:pPr>
    </w:p>
    <w:p w:rsidR="00D97C1D" w:rsidP="00D97C1D" w:rsidRDefault="00D97C1D" w14:paraId="6B699379" w14:textId="77777777">
      <w:pPr>
        <w:autoSpaceDE w:val="0"/>
        <w:autoSpaceDN w:val="0"/>
        <w:adjustRightInd w:val="0"/>
        <w:jc w:val="both"/>
        <w:rPr>
          <w:rFonts w:ascii="Arial" w:hAnsi="Arial" w:cs="Arial"/>
          <w:b/>
          <w:bCs/>
          <w:sz w:val="6"/>
          <w:szCs w:val="14"/>
          <w:lang w:val="en-US"/>
        </w:rPr>
      </w:pPr>
    </w:p>
    <w:p w:rsidR="00D97C1D" w:rsidP="00D97C1D" w:rsidRDefault="00D97C1D" w14:paraId="3FE9F23F" w14:textId="77777777">
      <w:pPr>
        <w:autoSpaceDE w:val="0"/>
        <w:autoSpaceDN w:val="0"/>
        <w:adjustRightInd w:val="0"/>
        <w:jc w:val="both"/>
        <w:rPr>
          <w:rFonts w:ascii="Arial" w:hAnsi="Arial" w:cs="Arial"/>
          <w:b/>
          <w:bCs/>
          <w:sz w:val="14"/>
          <w:szCs w:val="14"/>
          <w:lang w:val="en-US"/>
        </w:rPr>
        <w:sectPr w:rsidR="00D97C1D" w:rsidSect="00574DDC">
          <w:type w:val="continuous"/>
          <w:pgSz w:w="11907" w:h="16840" w:orient="portrait" w:code="9"/>
          <w:pgMar w:top="284" w:right="595" w:bottom="284" w:left="397" w:header="709" w:footer="709" w:gutter="0"/>
          <w:cols w:equalWidth="0" w:space="720" w:num="2">
            <w:col w:w="5097" w:space="720"/>
            <w:col w:w="5097"/>
          </w:cols>
          <w:docGrid w:linePitch="360"/>
        </w:sectPr>
      </w:pPr>
    </w:p>
    <w:p w:rsidR="00D97C1D" w:rsidP="00D97C1D" w:rsidRDefault="00D97C1D" w14:paraId="1B6767C6" w14:textId="77777777">
      <w:pPr>
        <w:autoSpaceDE w:val="0"/>
        <w:autoSpaceDN w:val="0"/>
        <w:adjustRightInd w:val="0"/>
        <w:jc w:val="both"/>
        <w:rPr>
          <w:rFonts w:ascii="Arial" w:hAnsi="Arial" w:cs="Arial"/>
          <w:b/>
          <w:bCs/>
          <w:sz w:val="14"/>
          <w:szCs w:val="14"/>
          <w:lang w:val="en-US"/>
        </w:rPr>
      </w:pPr>
      <w:r>
        <w:rPr>
          <w:rFonts w:ascii="Arial" w:hAnsi="Arial" w:cs="Arial"/>
          <w:b/>
          <w:bCs/>
          <w:sz w:val="14"/>
          <w:szCs w:val="14"/>
          <w:lang w:val="en-US"/>
        </w:rPr>
        <w:t>1. DEFINITIONS</w:t>
      </w:r>
    </w:p>
    <w:p w:rsidR="00D97C1D" w:rsidP="00D97C1D" w:rsidRDefault="00D97C1D" w14:paraId="31EFFCAB"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In these terms and conditions (herein called “the Conditions”):</w:t>
      </w:r>
    </w:p>
    <w:p w:rsidR="00D97C1D" w:rsidP="00D97C1D" w:rsidRDefault="00D97C1D" w14:paraId="1F72F646" w14:textId="77777777">
      <w:pPr>
        <w:autoSpaceDE w:val="0"/>
        <w:autoSpaceDN w:val="0"/>
        <w:adjustRightInd w:val="0"/>
        <w:jc w:val="both"/>
        <w:rPr>
          <w:rFonts w:ascii="Arial" w:hAnsi="Arial" w:cs="Arial"/>
          <w:sz w:val="6"/>
          <w:szCs w:val="14"/>
          <w:lang w:val="en-US"/>
        </w:rPr>
      </w:pPr>
    </w:p>
    <w:p w:rsidR="00D97C1D" w:rsidP="00D97C1D" w:rsidRDefault="00D97C1D" w14:paraId="2E7E4333" w14:textId="77777777">
      <w:pPr>
        <w:autoSpaceDE w:val="0"/>
        <w:autoSpaceDN w:val="0"/>
        <w:adjustRightInd w:val="0"/>
        <w:jc w:val="both"/>
        <w:rPr>
          <w:rFonts w:ascii="Arial" w:hAnsi="Arial" w:cs="Arial"/>
          <w:sz w:val="6"/>
          <w:szCs w:val="14"/>
          <w:lang w:val="en-US"/>
        </w:rPr>
      </w:pPr>
      <w:r>
        <w:rPr>
          <w:rFonts w:ascii="Arial" w:hAnsi="Arial" w:cs="Arial"/>
          <w:sz w:val="14"/>
          <w:szCs w:val="14"/>
          <w:lang w:val="en-US"/>
        </w:rPr>
        <w:t>“STA International” means STA International Limited and any of its shareholders from time to time;</w:t>
      </w:r>
    </w:p>
    <w:p w:rsidR="00D97C1D" w:rsidP="00D97C1D" w:rsidRDefault="00D97C1D" w14:paraId="327A0A1B"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“The Client” means the client of STA International whose name and other details are set out overleaf;.</w:t>
      </w:r>
    </w:p>
    <w:p w:rsidR="00D97C1D" w:rsidP="00D97C1D" w:rsidRDefault="00D97C1D" w14:paraId="08CE6F91" w14:textId="77777777">
      <w:pPr>
        <w:autoSpaceDE w:val="0"/>
        <w:autoSpaceDN w:val="0"/>
        <w:adjustRightInd w:val="0"/>
        <w:jc w:val="both"/>
        <w:rPr>
          <w:rFonts w:ascii="Arial" w:hAnsi="Arial" w:cs="Arial"/>
          <w:sz w:val="6"/>
          <w:szCs w:val="14"/>
          <w:lang w:val="en-US"/>
        </w:rPr>
      </w:pPr>
    </w:p>
    <w:p w:rsidR="00D97C1D" w:rsidP="00D97C1D" w:rsidRDefault="00D97C1D" w14:paraId="56C9DBCA"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“Debt Information” means in relation to a Referred Debt such information as is reasonably necessary to prove the existence of the Referred Debt e.g. copy invoice and correspondence;</w:t>
      </w:r>
    </w:p>
    <w:p w:rsidR="00D97C1D" w:rsidP="00D97C1D" w:rsidRDefault="0076008C" w14:paraId="71FB9682" w14:textId="77777777">
      <w:pPr>
        <w:autoSpaceDE w:val="0"/>
        <w:autoSpaceDN w:val="0"/>
        <w:adjustRightInd w:val="0"/>
        <w:jc w:val="both"/>
        <w:rPr>
          <w:rFonts w:ascii="Arial" w:hAnsi="Arial" w:cs="Arial"/>
          <w:sz w:val="6"/>
          <w:szCs w:val="14"/>
          <w:lang w:val="en-US"/>
        </w:rPr>
      </w:pPr>
      <w:r>
        <w:rPr>
          <w:rFonts w:ascii="Arial" w:hAnsi="Arial" w:cs="Arial"/>
          <w:sz w:val="6"/>
          <w:szCs w:val="14"/>
          <w:lang w:val="en-US"/>
        </w:rPr>
        <w:t>“</w:t>
      </w:r>
    </w:p>
    <w:p w:rsidR="00D97C1D" w:rsidP="00D97C1D" w:rsidRDefault="00D97C1D" w14:paraId="7E63CF85"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 xml:space="preserve">“Full Debt Collection Service” </w:t>
      </w:r>
      <w:r w:rsidR="0076008C">
        <w:rPr>
          <w:rFonts w:ascii="Arial" w:hAnsi="Arial" w:cs="Arial"/>
          <w:sz w:val="14"/>
          <w:szCs w:val="14"/>
          <w:lang w:val="en-US"/>
        </w:rPr>
        <w:t xml:space="preserve">also called </w:t>
      </w:r>
      <w:r w:rsidR="00023CFD">
        <w:rPr>
          <w:rFonts w:ascii="Arial" w:hAnsi="Arial" w:cs="Arial"/>
          <w:sz w:val="14"/>
          <w:szCs w:val="14"/>
          <w:lang w:val="en-US"/>
        </w:rPr>
        <w:t>“</w:t>
      </w:r>
      <w:r w:rsidR="0076008C">
        <w:rPr>
          <w:rFonts w:ascii="Arial" w:hAnsi="Arial" w:cs="Arial"/>
          <w:sz w:val="14"/>
          <w:szCs w:val="14"/>
          <w:lang w:val="en-US"/>
        </w:rPr>
        <w:t xml:space="preserve">Principal” </w:t>
      </w:r>
      <w:r>
        <w:rPr>
          <w:rFonts w:ascii="Arial" w:hAnsi="Arial" w:cs="Arial"/>
          <w:sz w:val="14"/>
          <w:szCs w:val="14"/>
          <w:lang w:val="en-US"/>
        </w:rPr>
        <w:t xml:space="preserve">means the debt collection service referred to and  described as such in our promotional literature from time to time (including our website www.stainternational.com); </w:t>
      </w:r>
    </w:p>
    <w:p w:rsidR="009D6D0F" w:rsidP="00D97C1D" w:rsidRDefault="009D6D0F" w14:paraId="5DB7E0AE" w14:textId="77777777">
      <w:pPr>
        <w:autoSpaceDE w:val="0"/>
        <w:autoSpaceDN w:val="0"/>
        <w:adjustRightInd w:val="0"/>
        <w:jc w:val="both"/>
        <w:rPr>
          <w:rFonts w:ascii="Arial" w:hAnsi="Arial" w:cs="Arial"/>
          <w:sz w:val="14"/>
          <w:szCs w:val="14"/>
          <w:lang w:val="en-US"/>
        </w:rPr>
      </w:pPr>
      <w:r w:rsidRPr="009D6D0F">
        <w:rPr>
          <w:rFonts w:ascii="Arial" w:hAnsi="Arial" w:cs="Arial"/>
          <w:sz w:val="6"/>
          <w:szCs w:val="6"/>
          <w:lang w:val="en-US"/>
        </w:rPr>
        <w:br/>
      </w:r>
      <w:r w:rsidRPr="009D6D0F">
        <w:rPr>
          <w:rFonts w:ascii="Arial" w:hAnsi="Arial" w:cs="Arial"/>
          <w:sz w:val="14"/>
          <w:szCs w:val="14"/>
          <w:lang w:val="en-US"/>
        </w:rPr>
        <w:t>“Principal Plus” means we will recover our commission from your UK commercial debtor subject to clause 6.3;</w:t>
      </w:r>
    </w:p>
    <w:p w:rsidR="00D97C1D" w:rsidP="00D97C1D" w:rsidRDefault="00D97C1D" w14:paraId="61CDCEAD" w14:textId="77777777">
      <w:pPr>
        <w:autoSpaceDE w:val="0"/>
        <w:autoSpaceDN w:val="0"/>
        <w:adjustRightInd w:val="0"/>
        <w:jc w:val="both"/>
        <w:rPr>
          <w:rFonts w:ascii="Arial" w:hAnsi="Arial" w:cs="Arial"/>
          <w:sz w:val="6"/>
          <w:szCs w:val="14"/>
          <w:lang w:val="en-US"/>
        </w:rPr>
      </w:pPr>
    </w:p>
    <w:p w:rsidR="00D97C1D" w:rsidP="00D97C1D" w:rsidRDefault="00D97C1D" w14:paraId="27B35484"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“Legal Services” means the debt collection service referred to and described as such in our promotional literature from time to time (including our website www.stainternational.com);</w:t>
      </w:r>
    </w:p>
    <w:p w:rsidR="00D97C1D" w:rsidP="00D97C1D" w:rsidRDefault="00D97C1D" w14:paraId="6BB9E253" w14:textId="77777777">
      <w:pPr>
        <w:autoSpaceDE w:val="0"/>
        <w:autoSpaceDN w:val="0"/>
        <w:adjustRightInd w:val="0"/>
        <w:jc w:val="both"/>
        <w:rPr>
          <w:rFonts w:ascii="Arial" w:hAnsi="Arial" w:cs="Arial"/>
          <w:sz w:val="6"/>
          <w:szCs w:val="14"/>
          <w:lang w:val="en-US"/>
        </w:rPr>
      </w:pPr>
    </w:p>
    <w:p w:rsidR="00D97C1D" w:rsidP="00D97C1D" w:rsidRDefault="00D97C1D" w14:paraId="01C6A273"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The “Applicable Collection Service” means the Full Debt Collection Service and the Legal Service (and/or such other debt collection service as may be agreed between us and you from time to time in either relation to specific Referred Debts or types of Referred Debts or generally);</w:t>
      </w:r>
    </w:p>
    <w:p w:rsidR="00D97C1D" w:rsidP="00D97C1D" w:rsidRDefault="00D97C1D" w14:paraId="23DE523C" w14:textId="77777777">
      <w:pPr>
        <w:autoSpaceDE w:val="0"/>
        <w:autoSpaceDN w:val="0"/>
        <w:adjustRightInd w:val="0"/>
        <w:jc w:val="both"/>
        <w:rPr>
          <w:rFonts w:ascii="Arial" w:hAnsi="Arial" w:cs="Arial"/>
          <w:sz w:val="6"/>
          <w:szCs w:val="14"/>
          <w:lang w:val="en-US"/>
        </w:rPr>
      </w:pPr>
    </w:p>
    <w:p w:rsidR="00D97C1D" w:rsidP="00D97C1D" w:rsidRDefault="00D97C1D" w14:paraId="00BD5715"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“Collection Agents” means solicitors or other agents of our choice and “Collection Agent” shall be construed accordingly;</w:t>
      </w:r>
    </w:p>
    <w:p w:rsidR="00D97C1D" w:rsidP="00D97C1D" w:rsidRDefault="00D97C1D" w14:paraId="52E56223" w14:textId="77777777">
      <w:pPr>
        <w:autoSpaceDE w:val="0"/>
        <w:autoSpaceDN w:val="0"/>
        <w:adjustRightInd w:val="0"/>
        <w:jc w:val="both"/>
        <w:rPr>
          <w:rFonts w:ascii="Arial" w:hAnsi="Arial" w:cs="Arial"/>
          <w:sz w:val="6"/>
          <w:szCs w:val="14"/>
          <w:lang w:val="en-US"/>
        </w:rPr>
      </w:pPr>
    </w:p>
    <w:p w:rsidR="00D97C1D" w:rsidP="00D97C1D" w:rsidRDefault="00D97C1D" w14:paraId="70588FB3"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“The Applicable Charges” means the commission, fees and other charges payable to us by you for the Applicable Collection Service and set out in the Service Agreement and/or any tariff attached to the Service Agreement (or such other commission fees and charges as may be agreed in writing from time to time) including bank charges (where applicable) and the fees and disbursements of the Collection Agent (if any);</w:t>
      </w:r>
    </w:p>
    <w:p w:rsidR="00D97C1D" w:rsidP="00D97C1D" w:rsidRDefault="00D97C1D" w14:paraId="07547A01" w14:textId="77777777">
      <w:pPr>
        <w:autoSpaceDE w:val="0"/>
        <w:autoSpaceDN w:val="0"/>
        <w:adjustRightInd w:val="0"/>
        <w:jc w:val="both"/>
        <w:rPr>
          <w:rFonts w:ascii="Arial" w:hAnsi="Arial" w:cs="Arial"/>
          <w:sz w:val="6"/>
          <w:szCs w:val="14"/>
          <w:lang w:val="en-US"/>
        </w:rPr>
      </w:pPr>
    </w:p>
    <w:p w:rsidR="00D97C1D" w:rsidP="00D97C1D" w:rsidRDefault="00D97C1D" w14:paraId="686ECBA8"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“Service Agreement” means this contract between us and you for the supply of the Applicable Collection Service to which the Conditions apply;</w:t>
      </w:r>
    </w:p>
    <w:p w:rsidR="00D97C1D" w:rsidP="00D97C1D" w:rsidRDefault="00D97C1D" w14:paraId="5043CB0F" w14:textId="77777777">
      <w:pPr>
        <w:autoSpaceDE w:val="0"/>
        <w:autoSpaceDN w:val="0"/>
        <w:adjustRightInd w:val="0"/>
        <w:jc w:val="both"/>
        <w:rPr>
          <w:rFonts w:ascii="Arial" w:hAnsi="Arial" w:cs="Arial"/>
          <w:sz w:val="6"/>
          <w:szCs w:val="14"/>
          <w:lang w:val="en-US"/>
        </w:rPr>
      </w:pPr>
    </w:p>
    <w:p w:rsidR="00D97C1D" w:rsidP="00D97C1D" w:rsidRDefault="00D97C1D" w14:paraId="1C0B3774"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 xml:space="preserve">“The Parties” means you and us and “party” shall be construed accordingly; </w:t>
      </w:r>
    </w:p>
    <w:p w:rsidR="00D97C1D" w:rsidP="00D97C1D" w:rsidRDefault="00D97C1D" w14:paraId="07459315" w14:textId="77777777">
      <w:pPr>
        <w:autoSpaceDE w:val="0"/>
        <w:autoSpaceDN w:val="0"/>
        <w:adjustRightInd w:val="0"/>
        <w:jc w:val="both"/>
        <w:rPr>
          <w:rFonts w:ascii="Arial" w:hAnsi="Arial" w:cs="Arial"/>
          <w:sz w:val="6"/>
          <w:szCs w:val="14"/>
          <w:lang w:val="en-US"/>
        </w:rPr>
      </w:pPr>
    </w:p>
    <w:p w:rsidR="00D97C1D" w:rsidP="00D97C1D" w:rsidRDefault="00D97C1D" w14:paraId="48A34B11"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“Referred Debt” means any debt referred by you and accepted by us in accordance with the Service Agreement and the Conditions;</w:t>
      </w:r>
    </w:p>
    <w:p w:rsidR="00D97C1D" w:rsidP="00D97C1D" w:rsidRDefault="00D97C1D" w14:paraId="6537F28F" w14:textId="77777777">
      <w:pPr>
        <w:autoSpaceDE w:val="0"/>
        <w:autoSpaceDN w:val="0"/>
        <w:adjustRightInd w:val="0"/>
        <w:jc w:val="both"/>
        <w:rPr>
          <w:rFonts w:ascii="Arial" w:hAnsi="Arial" w:cs="Arial"/>
          <w:sz w:val="6"/>
          <w:szCs w:val="14"/>
          <w:lang w:val="en-US"/>
        </w:rPr>
      </w:pPr>
    </w:p>
    <w:p w:rsidR="00D97C1D" w:rsidP="00D97C1D" w:rsidRDefault="00D97C1D" w14:paraId="19849CE9"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“Us” and “we” mean STA International;</w:t>
      </w:r>
    </w:p>
    <w:p w:rsidR="00D97C1D" w:rsidP="00D97C1D" w:rsidRDefault="00D97C1D" w14:paraId="6DFB9E20" w14:textId="77777777">
      <w:pPr>
        <w:autoSpaceDE w:val="0"/>
        <w:autoSpaceDN w:val="0"/>
        <w:adjustRightInd w:val="0"/>
        <w:jc w:val="both"/>
        <w:rPr>
          <w:rFonts w:ascii="Arial" w:hAnsi="Arial" w:cs="Arial"/>
          <w:sz w:val="6"/>
          <w:szCs w:val="14"/>
          <w:lang w:val="en-US"/>
        </w:rPr>
      </w:pPr>
    </w:p>
    <w:p w:rsidR="00D97C1D" w:rsidP="00D97C1D" w:rsidRDefault="00D97C1D" w14:paraId="707946B9"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“You” and “your” mean The Client.</w:t>
      </w:r>
    </w:p>
    <w:p w:rsidR="00D97C1D" w:rsidP="00D97C1D" w:rsidRDefault="00D97C1D" w14:paraId="70DF9E56" w14:textId="77777777">
      <w:pPr>
        <w:autoSpaceDE w:val="0"/>
        <w:autoSpaceDN w:val="0"/>
        <w:adjustRightInd w:val="0"/>
        <w:jc w:val="both"/>
        <w:rPr>
          <w:rFonts w:ascii="Arial" w:hAnsi="Arial" w:cs="Arial"/>
          <w:sz w:val="6"/>
          <w:szCs w:val="14"/>
          <w:lang w:val="en-US"/>
        </w:rPr>
      </w:pPr>
    </w:p>
    <w:p w:rsidR="00D97C1D" w:rsidP="00D97C1D" w:rsidRDefault="00D97C1D" w14:paraId="791EA75F" w14:textId="77777777">
      <w:pPr>
        <w:autoSpaceDE w:val="0"/>
        <w:autoSpaceDN w:val="0"/>
        <w:adjustRightInd w:val="0"/>
        <w:jc w:val="both"/>
        <w:rPr>
          <w:rFonts w:ascii="Arial" w:hAnsi="Arial" w:cs="Arial"/>
          <w:b/>
          <w:bCs/>
          <w:sz w:val="14"/>
          <w:szCs w:val="14"/>
          <w:lang w:val="en-US"/>
        </w:rPr>
      </w:pPr>
      <w:r>
        <w:rPr>
          <w:rFonts w:ascii="Arial" w:hAnsi="Arial" w:cs="Arial"/>
          <w:b/>
          <w:bCs/>
          <w:sz w:val="14"/>
          <w:szCs w:val="14"/>
          <w:lang w:val="en-US"/>
        </w:rPr>
        <w:t>2. OUR AGREEMENT</w:t>
      </w:r>
    </w:p>
    <w:p w:rsidR="00D97C1D" w:rsidP="00D97C1D" w:rsidRDefault="00D97C1D" w14:paraId="1E647EB4" w14:textId="77777777">
      <w:pPr>
        <w:pStyle w:val="BodyText"/>
        <w:numPr>
          <w:ilvl w:val="1"/>
          <w:numId w:val="11"/>
        </w:numPr>
        <w:tabs>
          <w:tab w:val="clear" w:pos="765"/>
          <w:tab w:val="num" w:pos="567"/>
        </w:tabs>
        <w:suppressAutoHyphens w:val="0"/>
        <w:autoSpaceDN w:val="0"/>
        <w:adjustRightInd w:val="0"/>
        <w:ind w:left="567" w:hanging="425"/>
        <w:jc w:val="both"/>
      </w:pPr>
      <w:r>
        <w:t>The Service Agreement sets out the entire agreement between you and us in relation to the collection of the Referred Debts and supersedes all prior agreements between the parties regarding the subject matter hereof but without prejudice to any rights, which have already accrued to either party.</w:t>
      </w:r>
    </w:p>
    <w:p w:rsidR="00D97C1D" w:rsidP="00D97C1D" w:rsidRDefault="00D97C1D" w14:paraId="5F6A73A1" w14:textId="77777777">
      <w:pPr>
        <w:numPr>
          <w:ilvl w:val="1"/>
          <w:numId w:val="11"/>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No variation of or waiver of or amendment to the Service Agreement shall be binding on us unless agreed in writing by a Director on our behalf.</w:t>
      </w:r>
    </w:p>
    <w:p w:rsidR="00D97C1D" w:rsidP="00D97C1D" w:rsidRDefault="00D97C1D" w14:paraId="44E871BC" w14:textId="77777777">
      <w:pPr>
        <w:autoSpaceDE w:val="0"/>
        <w:autoSpaceDN w:val="0"/>
        <w:adjustRightInd w:val="0"/>
        <w:jc w:val="both"/>
        <w:rPr>
          <w:rFonts w:ascii="Arial" w:hAnsi="Arial" w:cs="Arial"/>
          <w:sz w:val="6"/>
          <w:szCs w:val="14"/>
          <w:lang w:val="en-US"/>
        </w:rPr>
      </w:pPr>
    </w:p>
    <w:p w:rsidR="00D97C1D" w:rsidP="00D97C1D" w:rsidRDefault="00D97C1D" w14:paraId="1266DB59" w14:textId="77777777">
      <w:pPr>
        <w:autoSpaceDE w:val="0"/>
        <w:autoSpaceDN w:val="0"/>
        <w:adjustRightInd w:val="0"/>
        <w:jc w:val="both"/>
        <w:rPr>
          <w:rFonts w:ascii="Arial" w:hAnsi="Arial" w:cs="Arial"/>
          <w:b/>
          <w:bCs/>
          <w:sz w:val="14"/>
          <w:szCs w:val="14"/>
          <w:lang w:val="en-US"/>
        </w:rPr>
      </w:pPr>
      <w:r>
        <w:rPr>
          <w:rFonts w:ascii="Arial" w:hAnsi="Arial" w:cs="Arial"/>
          <w:b/>
          <w:bCs/>
          <w:sz w:val="14"/>
          <w:szCs w:val="14"/>
          <w:lang w:val="en-US"/>
        </w:rPr>
        <w:t>3. OUR SERVICES</w:t>
      </w:r>
    </w:p>
    <w:p w:rsidR="00D97C1D" w:rsidP="00D97C1D" w:rsidRDefault="00D97C1D" w14:paraId="4FEA1C87" w14:textId="77777777">
      <w:pPr>
        <w:numPr>
          <w:ilvl w:val="1"/>
          <w:numId w:val="12"/>
        </w:numPr>
        <w:tabs>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We shall provide to you the Applicable Collection Service subject to the Conditions.</w:t>
      </w:r>
    </w:p>
    <w:p w:rsidR="00D97C1D" w:rsidP="00D97C1D" w:rsidRDefault="00D97C1D" w14:paraId="2E5E5155" w14:textId="77777777">
      <w:pPr>
        <w:numPr>
          <w:ilvl w:val="1"/>
          <w:numId w:val="12"/>
        </w:numPr>
        <w:tabs>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 xml:space="preserve">You hereby authorise us in our absolute discretion to appoint Collection Agents on your behalf to assist in the collection of Referred Debts. </w:t>
      </w:r>
      <w:r w:rsidRPr="00605F88">
        <w:rPr>
          <w:rFonts w:ascii="Arial" w:hAnsi="Arial" w:cs="Arial"/>
          <w:sz w:val="14"/>
          <w:szCs w:val="14"/>
          <w:lang w:val="en-US"/>
        </w:rPr>
        <w:t>We will always seek your prior approval before transferring any Debt to a Collection Agent. You will not approach any Collection Agent appointed</w:t>
      </w:r>
      <w:r>
        <w:rPr>
          <w:rFonts w:ascii="Arial" w:hAnsi="Arial" w:cs="Arial"/>
          <w:sz w:val="14"/>
          <w:szCs w:val="14"/>
          <w:lang w:val="en-US"/>
        </w:rPr>
        <w:t xml:space="preserve"> by us except with our prior written consent.</w:t>
      </w:r>
    </w:p>
    <w:p w:rsidRPr="00787F11" w:rsidR="00D97C1D" w:rsidP="00D97C1D" w:rsidRDefault="00D97C1D" w14:paraId="7CBAB42D" w14:textId="77777777">
      <w:pPr>
        <w:numPr>
          <w:ilvl w:val="1"/>
          <w:numId w:val="12"/>
        </w:numPr>
        <w:tabs>
          <w:tab w:val="num" w:pos="567"/>
        </w:tabs>
        <w:suppressAutoHyphens w:val="0"/>
        <w:autoSpaceDE w:val="0"/>
        <w:autoSpaceDN w:val="0"/>
        <w:adjustRightInd w:val="0"/>
        <w:ind w:left="567" w:hanging="425"/>
        <w:jc w:val="both"/>
        <w:rPr>
          <w:rFonts w:ascii="Arial" w:hAnsi="Arial" w:cs="Arial"/>
          <w:sz w:val="14"/>
          <w:szCs w:val="14"/>
          <w:lang w:val="en-US"/>
        </w:rPr>
      </w:pPr>
      <w:r w:rsidRPr="00787F11">
        <w:rPr>
          <w:rFonts w:ascii="Arial" w:hAnsi="Arial" w:cs="Arial"/>
          <w:sz w:val="14"/>
          <w:szCs w:val="14"/>
          <w:lang w:val="en-US"/>
        </w:rPr>
        <w:t>Notwithstanding Condition 3.2 (and unless otherwise agreed or instructed by you), we will consult with you before the commencement of legal proceedings.</w:t>
      </w:r>
    </w:p>
    <w:p w:rsidR="00D97C1D" w:rsidP="00D97C1D" w:rsidRDefault="00D97C1D" w14:paraId="2EBB9B3E" w14:textId="77777777">
      <w:pPr>
        <w:numPr>
          <w:ilvl w:val="1"/>
          <w:numId w:val="12"/>
        </w:numPr>
        <w:tabs>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We will account to you bi-weekly in respect of cleared funds collected by us or any Collection Agent in respect of Referred Debts. We reserve the right to deduct from monies so collected the Applicable Charges.</w:t>
      </w:r>
    </w:p>
    <w:p w:rsidR="00D97C1D" w:rsidP="00D97C1D" w:rsidRDefault="00D97C1D" w14:paraId="5004674B" w14:textId="77777777">
      <w:pPr>
        <w:numPr>
          <w:ilvl w:val="1"/>
          <w:numId w:val="12"/>
        </w:numPr>
        <w:tabs>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The Collection Agents and us are hereby authorised to collect payments in respect of the Referred Debts and to issue receipts in relation thereto.</w:t>
      </w:r>
    </w:p>
    <w:p w:rsidR="002A39BC" w:rsidP="00D97C1D" w:rsidRDefault="00D97C1D" w14:paraId="3E9E0C94" w14:textId="77777777">
      <w:pPr>
        <w:numPr>
          <w:ilvl w:val="1"/>
          <w:numId w:val="12"/>
        </w:numPr>
        <w:tabs>
          <w:tab w:val="num" w:pos="567"/>
        </w:tabs>
        <w:suppressAutoHyphens w:val="0"/>
        <w:autoSpaceDE w:val="0"/>
        <w:autoSpaceDN w:val="0"/>
        <w:adjustRightInd w:val="0"/>
        <w:ind w:left="567" w:hanging="425"/>
        <w:jc w:val="both"/>
        <w:rPr>
          <w:rFonts w:ascii="Arial" w:hAnsi="Arial" w:cs="Arial"/>
          <w:sz w:val="14"/>
          <w:szCs w:val="14"/>
          <w:lang w:val="en-US"/>
        </w:rPr>
      </w:pPr>
      <w:r w:rsidRPr="002A39BC">
        <w:rPr>
          <w:rFonts w:ascii="Arial" w:hAnsi="Arial" w:cs="Arial"/>
          <w:sz w:val="14"/>
          <w:szCs w:val="14"/>
          <w:lang w:val="en-US"/>
        </w:rPr>
        <w:t>We reserve the right to decline to undertake action to collect any Referred Debt or to discontinue any collection of any Referred Debt at any time by giving notice to you.</w:t>
      </w:r>
    </w:p>
    <w:p w:rsidRPr="002A39BC" w:rsidR="00D97C1D" w:rsidP="00D97C1D" w:rsidRDefault="002A39BC" w14:paraId="704F32B3" w14:textId="77777777">
      <w:pPr>
        <w:numPr>
          <w:ilvl w:val="1"/>
          <w:numId w:val="12"/>
        </w:numPr>
        <w:tabs>
          <w:tab w:val="num" w:pos="567"/>
        </w:tabs>
        <w:suppressAutoHyphens w:val="0"/>
        <w:autoSpaceDE w:val="0"/>
        <w:autoSpaceDN w:val="0"/>
        <w:adjustRightInd w:val="0"/>
        <w:ind w:left="567" w:hanging="425"/>
        <w:jc w:val="both"/>
        <w:rPr>
          <w:rFonts w:ascii="Arial" w:hAnsi="Arial" w:cs="Arial"/>
          <w:sz w:val="14"/>
          <w:szCs w:val="14"/>
          <w:lang w:val="en-US"/>
        </w:rPr>
      </w:pPr>
      <w:r w:rsidRPr="002A39BC">
        <w:rPr>
          <w:rFonts w:ascii="Arial" w:hAnsi="Arial" w:cs="Arial"/>
          <w:sz w:val="14"/>
          <w:szCs w:val="14"/>
          <w:lang w:val="en-US"/>
        </w:rPr>
        <w:t>We will accept instalment payments of no longer than three (3) months to pay a Referred Debt. Should the debtor want a longer term we shall seek you and/or your Underwriter’s approval before proceeding</w:t>
      </w:r>
    </w:p>
    <w:p w:rsidR="00D97C1D" w:rsidP="00D97C1D" w:rsidRDefault="00D97C1D" w14:paraId="3C98AC45" w14:textId="77777777">
      <w:pPr>
        <w:autoSpaceDE w:val="0"/>
        <w:autoSpaceDN w:val="0"/>
        <w:adjustRightInd w:val="0"/>
        <w:jc w:val="both"/>
        <w:rPr>
          <w:rFonts w:ascii="Arial" w:hAnsi="Arial" w:cs="Arial"/>
          <w:b/>
          <w:bCs/>
          <w:sz w:val="14"/>
          <w:szCs w:val="14"/>
          <w:lang w:val="en-US"/>
        </w:rPr>
      </w:pPr>
      <w:r>
        <w:rPr>
          <w:rFonts w:ascii="Arial" w:hAnsi="Arial" w:cs="Arial"/>
          <w:b/>
          <w:bCs/>
          <w:sz w:val="14"/>
          <w:szCs w:val="14"/>
          <w:lang w:val="en-US"/>
        </w:rPr>
        <w:t>4. YOUR PROMISES</w:t>
      </w:r>
    </w:p>
    <w:p w:rsidR="00D97C1D" w:rsidP="00D97C1D" w:rsidRDefault="00D97C1D" w14:paraId="520BCBDA" w14:textId="77777777">
      <w:pPr>
        <w:pStyle w:val="BodyText"/>
        <w:numPr>
          <w:ilvl w:val="1"/>
          <w:numId w:val="13"/>
        </w:numPr>
        <w:tabs>
          <w:tab w:val="clear" w:pos="765"/>
          <w:tab w:val="num" w:pos="567"/>
        </w:tabs>
        <w:suppressAutoHyphens w:val="0"/>
        <w:autoSpaceDN w:val="0"/>
        <w:adjustRightInd w:val="0"/>
        <w:ind w:left="567" w:hanging="425"/>
        <w:jc w:val="both"/>
      </w:pPr>
      <w:r>
        <w:t>You will provide to us at no charge the Debt information and confirm that the Debt Information is true, complete and accurate in all material respects.</w:t>
      </w:r>
    </w:p>
    <w:p w:rsidR="00D97C1D" w:rsidP="00D97C1D" w:rsidRDefault="00D97C1D" w14:paraId="61D2FFAC" w14:textId="77777777">
      <w:pPr>
        <w:numPr>
          <w:ilvl w:val="1"/>
          <w:numId w:val="13"/>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You undertake and agree that without first obtaining our written consent you will not at any time waive or modify the terms of the contract with the debtor which gave rise to the Referred Debt and /or sell assign, transfer or encumber our interest in any Referred Debt and/or make or maintain any form of communication with the debtor.</w:t>
      </w:r>
    </w:p>
    <w:p w:rsidR="00D97C1D" w:rsidP="00D97C1D" w:rsidRDefault="00D97C1D" w14:paraId="26BC0012" w14:textId="77777777">
      <w:pPr>
        <w:numPr>
          <w:ilvl w:val="1"/>
          <w:numId w:val="13"/>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You will immediately notify us of any payment received by you, your agents or bankers in respect of any Referred Debt from or on behalf of the debtor or under any policy of insurance.</w:t>
      </w:r>
    </w:p>
    <w:p w:rsidR="00D97C1D" w:rsidP="00D97C1D" w:rsidRDefault="00D97C1D" w14:paraId="0F67349C" w14:textId="77777777">
      <w:pPr>
        <w:numPr>
          <w:ilvl w:val="1"/>
          <w:numId w:val="13"/>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You will pay the Applicable Charges to us without deduction or set off  and our entitlement will not be affected by any communication you have with the debtor in breach of Clause 4.2</w:t>
      </w:r>
    </w:p>
    <w:p w:rsidR="00D97C1D" w:rsidP="00D97C1D" w:rsidRDefault="00D97C1D" w14:paraId="6FF6F97B" w14:textId="77777777">
      <w:pPr>
        <w:autoSpaceDE w:val="0"/>
        <w:autoSpaceDN w:val="0"/>
        <w:adjustRightInd w:val="0"/>
        <w:jc w:val="both"/>
        <w:rPr>
          <w:rFonts w:ascii="Arial" w:hAnsi="Arial" w:cs="Arial"/>
          <w:b/>
          <w:bCs/>
          <w:sz w:val="14"/>
          <w:szCs w:val="14"/>
          <w:lang w:val="en-US"/>
        </w:rPr>
      </w:pPr>
      <w:r>
        <w:rPr>
          <w:rFonts w:ascii="Arial" w:hAnsi="Arial" w:cs="Arial"/>
          <w:b/>
          <w:bCs/>
          <w:sz w:val="14"/>
          <w:szCs w:val="14"/>
          <w:lang w:val="en-US"/>
        </w:rPr>
        <w:t>5. WHAT YOU WILL PAY</w:t>
      </w:r>
    </w:p>
    <w:p w:rsidRPr="00787F11" w:rsidR="00D97C1D" w:rsidP="00D97C1D" w:rsidRDefault="00D97C1D" w14:paraId="6F0C92E7" w14:textId="77777777">
      <w:pPr>
        <w:numPr>
          <w:ilvl w:val="1"/>
          <w:numId w:val="14"/>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sidRPr="00787F11">
        <w:rPr>
          <w:rFonts w:ascii="Arial" w:hAnsi="Arial" w:cs="Arial"/>
          <w:sz w:val="14"/>
          <w:szCs w:val="14"/>
          <w:lang w:val="en-US"/>
        </w:rPr>
        <w:t xml:space="preserve">You shall pay the Applicable Charges </w:t>
      </w:r>
      <w:r>
        <w:rPr>
          <w:rFonts w:ascii="Arial" w:hAnsi="Arial" w:cs="Arial"/>
          <w:sz w:val="14"/>
          <w:szCs w:val="14"/>
          <w:lang w:val="en-US"/>
        </w:rPr>
        <w:t xml:space="preserve">and indemnify and keep us indemnified from and against </w:t>
      </w:r>
      <w:r w:rsidRPr="00787F11">
        <w:rPr>
          <w:rFonts w:ascii="Arial" w:hAnsi="Arial" w:cs="Arial"/>
          <w:sz w:val="14"/>
          <w:szCs w:val="14"/>
          <w:lang w:val="en-US"/>
        </w:rPr>
        <w:t>all court fees (as varied from time to time), fixed costs in relation to solicitors’ and/or other Collection Agents’ charges on the issue and/or prosecution of legal proceedings (as varied from time to time) and all fees, costs, commission and disbursements and expenses of any Collection Agent appointed pursuant to Condition 3.2 up to the time of expiry or termination of the Service Agreement (including the service of any notice pursuant to Clause 3.6)</w:t>
      </w:r>
    </w:p>
    <w:p w:rsidR="00D97C1D" w:rsidP="00D97C1D" w:rsidRDefault="00D97C1D" w14:paraId="144A5D23" w14:textId="77777777">
      <w:pPr>
        <w:autoSpaceDE w:val="0"/>
        <w:autoSpaceDN w:val="0"/>
        <w:adjustRightInd w:val="0"/>
        <w:ind w:left="567"/>
        <w:jc w:val="both"/>
        <w:rPr>
          <w:rFonts w:ascii="Arial" w:hAnsi="Arial" w:cs="Arial"/>
          <w:sz w:val="14"/>
          <w:szCs w:val="14"/>
          <w:lang w:val="en-US"/>
        </w:rPr>
      </w:pPr>
    </w:p>
    <w:p w:rsidR="00D97C1D" w:rsidP="00D97C1D" w:rsidRDefault="00D97C1D" w14:paraId="6A57C210" w14:textId="77777777">
      <w:pPr>
        <w:pStyle w:val="BodyText"/>
        <w:numPr>
          <w:ilvl w:val="1"/>
          <w:numId w:val="14"/>
        </w:numPr>
        <w:tabs>
          <w:tab w:val="clear" w:pos="765"/>
          <w:tab w:val="num" w:pos="567"/>
        </w:tabs>
        <w:suppressAutoHyphens w:val="0"/>
        <w:autoSpaceDN w:val="0"/>
        <w:adjustRightInd w:val="0"/>
        <w:ind w:left="567" w:hanging="425"/>
        <w:jc w:val="both"/>
      </w:pPr>
      <w:r>
        <w:t>We and/or any Collection Agent shall be entitled to commission comprised in the Applicable Charges on all payments in respect of a Referred Debt notwithstanding that those payments are :</w:t>
      </w:r>
    </w:p>
    <w:p w:rsidR="00D97C1D" w:rsidP="00D97C1D" w:rsidRDefault="00D97C1D" w14:paraId="2F7DB5C5" w14:textId="77777777">
      <w:pPr>
        <w:numPr>
          <w:ilvl w:val="2"/>
          <w:numId w:val="14"/>
        </w:numPr>
        <w:tabs>
          <w:tab w:val="clear" w:pos="765"/>
          <w:tab w:val="num" w:pos="567"/>
          <w:tab w:val="num" w:pos="993"/>
        </w:tabs>
        <w:suppressAutoHyphens w:val="0"/>
        <w:autoSpaceDE w:val="0"/>
        <w:autoSpaceDN w:val="0"/>
        <w:adjustRightInd w:val="0"/>
        <w:ind w:left="993" w:hanging="426"/>
        <w:jc w:val="both"/>
        <w:rPr>
          <w:rFonts w:ascii="Arial" w:hAnsi="Arial" w:cs="Arial"/>
          <w:sz w:val="14"/>
          <w:szCs w:val="14"/>
          <w:lang w:val="en-US"/>
        </w:rPr>
      </w:pPr>
      <w:r>
        <w:rPr>
          <w:rFonts w:ascii="Arial" w:hAnsi="Arial" w:cs="Arial"/>
          <w:sz w:val="14"/>
          <w:szCs w:val="14"/>
          <w:lang w:val="en-US"/>
        </w:rPr>
        <w:t>made to us, the Collection Agent, you, your agent or bankers; and/or</w:t>
      </w:r>
    </w:p>
    <w:p w:rsidR="00D97C1D" w:rsidP="00D97C1D" w:rsidRDefault="00D97C1D" w14:paraId="1616FBC1" w14:textId="77777777">
      <w:pPr>
        <w:numPr>
          <w:ilvl w:val="2"/>
          <w:numId w:val="14"/>
        </w:numPr>
        <w:tabs>
          <w:tab w:val="clear" w:pos="765"/>
          <w:tab w:val="num" w:pos="567"/>
          <w:tab w:val="num" w:pos="993"/>
        </w:tabs>
        <w:suppressAutoHyphens w:val="0"/>
        <w:autoSpaceDE w:val="0"/>
        <w:autoSpaceDN w:val="0"/>
        <w:adjustRightInd w:val="0"/>
        <w:ind w:left="993" w:hanging="426"/>
        <w:jc w:val="both"/>
        <w:rPr>
          <w:rFonts w:ascii="Arial" w:hAnsi="Arial" w:cs="Arial"/>
          <w:sz w:val="14"/>
          <w:szCs w:val="14"/>
          <w:lang w:val="en-US"/>
        </w:rPr>
      </w:pPr>
      <w:r>
        <w:rPr>
          <w:rFonts w:ascii="Arial" w:hAnsi="Arial" w:cs="Arial"/>
          <w:sz w:val="14"/>
          <w:szCs w:val="14"/>
          <w:lang w:val="en-US"/>
        </w:rPr>
        <w:t>made by the debtor, any person on the debtor's behalf or under any policy of insurance; and</w:t>
      </w:r>
    </w:p>
    <w:p w:rsidR="00D97C1D" w:rsidP="00D97C1D" w:rsidRDefault="00D97C1D" w14:paraId="6934DE67" w14:textId="77777777">
      <w:pPr>
        <w:numPr>
          <w:ilvl w:val="2"/>
          <w:numId w:val="14"/>
        </w:numPr>
        <w:tabs>
          <w:tab w:val="clear" w:pos="765"/>
          <w:tab w:val="num" w:pos="567"/>
          <w:tab w:val="num" w:pos="993"/>
        </w:tabs>
        <w:suppressAutoHyphens w:val="0"/>
        <w:autoSpaceDE w:val="0"/>
        <w:autoSpaceDN w:val="0"/>
        <w:adjustRightInd w:val="0"/>
        <w:ind w:left="993" w:hanging="426"/>
        <w:jc w:val="both"/>
        <w:rPr>
          <w:rFonts w:ascii="Arial" w:hAnsi="Arial" w:cs="Arial"/>
          <w:sz w:val="14"/>
          <w:szCs w:val="14"/>
          <w:lang w:val="en-US"/>
        </w:rPr>
      </w:pPr>
      <w:r>
        <w:rPr>
          <w:rFonts w:ascii="Arial" w:hAnsi="Arial" w:cs="Arial"/>
          <w:sz w:val="14"/>
          <w:szCs w:val="14"/>
          <w:lang w:val="en-US"/>
        </w:rPr>
        <w:t>received after the date of referral of a Referred Debt to us or within a period of six months after expiry or termination of the Service Agreement or after our discontinuance of collection of that Referred Debt pursuant to Condition 3.6; or</w:t>
      </w:r>
    </w:p>
    <w:p w:rsidR="00D97C1D" w:rsidP="00D97C1D" w:rsidRDefault="00D97C1D" w14:paraId="5E22136C" w14:textId="77777777">
      <w:pPr>
        <w:numPr>
          <w:ilvl w:val="2"/>
          <w:numId w:val="14"/>
        </w:numPr>
        <w:tabs>
          <w:tab w:val="clear" w:pos="765"/>
          <w:tab w:val="num" w:pos="567"/>
          <w:tab w:val="num" w:pos="993"/>
        </w:tabs>
        <w:suppressAutoHyphens w:val="0"/>
        <w:autoSpaceDE w:val="0"/>
        <w:autoSpaceDN w:val="0"/>
        <w:adjustRightInd w:val="0"/>
        <w:ind w:left="993" w:hanging="426"/>
        <w:jc w:val="both"/>
        <w:rPr>
          <w:rFonts w:ascii="Arial" w:hAnsi="Arial" w:cs="Arial"/>
          <w:sz w:val="14"/>
          <w:szCs w:val="14"/>
          <w:lang w:val="en-US"/>
        </w:rPr>
      </w:pPr>
      <w:r>
        <w:rPr>
          <w:rFonts w:ascii="Arial" w:hAnsi="Arial" w:cs="Arial"/>
          <w:sz w:val="14"/>
          <w:szCs w:val="14"/>
          <w:lang w:val="en-US"/>
        </w:rPr>
        <w:t>received at any time prior to the date of referral of a Referred Debt to us in circumstances where the payment was not identified (for whatever reason) until after the date of referral of the Referred Debt to us.</w:t>
      </w:r>
    </w:p>
    <w:p w:rsidR="00D97C1D" w:rsidP="00D97C1D" w:rsidRDefault="00D97C1D" w14:paraId="0173FAC3" w14:textId="77777777">
      <w:pPr>
        <w:numPr>
          <w:ilvl w:val="1"/>
          <w:numId w:val="14"/>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Where you accept goods and/or services in lieu of cash, agree to issue a credit note, a contra or write off in respect of any Referred Debt then you shall be deemed for the purposes of the Service Agreement to have received payment from the debtor of an amount equal to either the amount credited to the debtor’s account in respect of those goods and/or services or (as the case may be) the amount of the credit note, contra or write off.</w:t>
      </w:r>
    </w:p>
    <w:p w:rsidR="00D97C1D" w:rsidP="00D97C1D" w:rsidRDefault="00D97C1D" w14:paraId="738610EB" w14:textId="77777777">
      <w:pPr>
        <w:autoSpaceDE w:val="0"/>
        <w:autoSpaceDN w:val="0"/>
        <w:adjustRightInd w:val="0"/>
        <w:jc w:val="both"/>
        <w:rPr>
          <w:rFonts w:ascii="Arial" w:hAnsi="Arial" w:cs="Arial"/>
          <w:sz w:val="6"/>
          <w:szCs w:val="14"/>
          <w:lang w:val="en-US"/>
        </w:rPr>
      </w:pPr>
    </w:p>
    <w:p w:rsidR="00D97C1D" w:rsidP="00D97C1D" w:rsidRDefault="00D97C1D" w14:paraId="43B9EB63" w14:textId="77777777">
      <w:pPr>
        <w:autoSpaceDE w:val="0"/>
        <w:autoSpaceDN w:val="0"/>
        <w:adjustRightInd w:val="0"/>
        <w:jc w:val="both"/>
        <w:rPr>
          <w:rFonts w:ascii="Arial" w:hAnsi="Arial" w:cs="Arial"/>
          <w:b/>
          <w:bCs/>
          <w:sz w:val="14"/>
          <w:szCs w:val="14"/>
          <w:lang w:val="en-US"/>
        </w:rPr>
      </w:pPr>
      <w:r>
        <w:rPr>
          <w:rFonts w:ascii="Arial" w:hAnsi="Arial" w:cs="Arial"/>
          <w:b/>
          <w:bCs/>
          <w:sz w:val="14"/>
          <w:szCs w:val="14"/>
          <w:lang w:val="en-US"/>
        </w:rPr>
        <w:t>6. WHEN YOU WILL PAY</w:t>
      </w:r>
    </w:p>
    <w:p w:rsidR="00D97C1D" w:rsidP="00D97C1D" w:rsidRDefault="00D97C1D" w14:paraId="76C42923" w14:textId="77777777">
      <w:pPr>
        <w:pStyle w:val="BodyText"/>
        <w:numPr>
          <w:ilvl w:val="1"/>
          <w:numId w:val="16"/>
        </w:numPr>
        <w:tabs>
          <w:tab w:val="clear" w:pos="765"/>
          <w:tab w:val="num" w:pos="567"/>
        </w:tabs>
        <w:suppressAutoHyphens w:val="0"/>
        <w:autoSpaceDN w:val="0"/>
        <w:adjustRightInd w:val="0"/>
        <w:ind w:left="567" w:hanging="425"/>
        <w:jc w:val="both"/>
      </w:pPr>
      <w:r>
        <w:t>All sums payable under the Service Agreement are exclusive of Value Added Tax and other duties or taxes and (where applicable) shall be payable at the rate prevailing from time to time.</w:t>
      </w:r>
    </w:p>
    <w:p w:rsidR="005C28E5" w:rsidP="005C28E5" w:rsidRDefault="00D97C1D" w14:paraId="1007A1A2" w14:textId="77777777">
      <w:pPr>
        <w:numPr>
          <w:ilvl w:val="1"/>
          <w:numId w:val="16"/>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Payment of all amounts referred to in the Conditions shall be due within 30 days of the date of our invoice and shall be paid in full by you without deduction or set-off. Time for payment shall be of the e</w:t>
      </w:r>
      <w:r w:rsidR="005C28E5">
        <w:rPr>
          <w:rFonts w:ascii="Arial" w:hAnsi="Arial" w:cs="Arial"/>
          <w:sz w:val="14"/>
          <w:szCs w:val="14"/>
          <w:lang w:val="en-US"/>
        </w:rPr>
        <w:t>ssence of the Service Agreement.</w:t>
      </w:r>
    </w:p>
    <w:p w:rsidR="009D6D0F" w:rsidP="009D6D0F" w:rsidRDefault="009D6D0F" w14:paraId="7F13DCC3" w14:textId="77777777">
      <w:pPr>
        <w:numPr>
          <w:ilvl w:val="1"/>
          <w:numId w:val="16"/>
        </w:numPr>
        <w:tabs>
          <w:tab w:val="clear" w:pos="765"/>
          <w:tab w:val="left" w:pos="567"/>
        </w:tabs>
        <w:suppressAutoHyphens w:val="0"/>
        <w:autoSpaceDE w:val="0"/>
        <w:autoSpaceDN w:val="0"/>
        <w:adjustRightInd w:val="0"/>
        <w:ind w:left="567" w:hanging="425"/>
        <w:jc w:val="both"/>
        <w:rPr>
          <w:rFonts w:ascii="Arial" w:hAnsi="Arial" w:cs="Arial"/>
          <w:sz w:val="14"/>
          <w:szCs w:val="14"/>
          <w:lang w:val="en-US"/>
        </w:rPr>
      </w:pPr>
      <w:r w:rsidRPr="009D6D0F">
        <w:rPr>
          <w:rFonts w:ascii="Arial" w:hAnsi="Arial" w:cs="Arial"/>
          <w:sz w:val="14"/>
          <w:szCs w:val="14"/>
          <w:lang w:val="en-US"/>
        </w:rPr>
        <w:t>For Principal Plus we will recover our commission from your UK commercial debtor except when: you change the amount outstanding after placement; or you accept full-and-final settlement equal to or less than the amount placed; or you reject STA funded legal action to recover our commission from your debtor. Any one of these make you responsible for paying our commission.</w:t>
      </w:r>
    </w:p>
    <w:p w:rsidRPr="009D6D0F" w:rsidR="00D97C1D" w:rsidP="009D6D0F" w:rsidRDefault="00D97C1D" w14:paraId="637805D2" w14:textId="77777777">
      <w:pPr>
        <w:tabs>
          <w:tab w:val="left" w:pos="567"/>
        </w:tabs>
        <w:suppressAutoHyphens w:val="0"/>
        <w:autoSpaceDE w:val="0"/>
        <w:autoSpaceDN w:val="0"/>
        <w:adjustRightInd w:val="0"/>
        <w:ind w:left="567"/>
        <w:jc w:val="both"/>
        <w:rPr>
          <w:rFonts w:ascii="Arial" w:hAnsi="Arial" w:cs="Arial"/>
          <w:sz w:val="14"/>
          <w:szCs w:val="14"/>
          <w:lang w:val="en-US"/>
        </w:rPr>
      </w:pPr>
    </w:p>
    <w:p w:rsidR="00D97C1D" w:rsidP="00D97C1D" w:rsidRDefault="00D97C1D" w14:paraId="6571DDEC" w14:textId="77777777">
      <w:pPr>
        <w:autoSpaceDE w:val="0"/>
        <w:autoSpaceDN w:val="0"/>
        <w:adjustRightInd w:val="0"/>
        <w:jc w:val="both"/>
        <w:rPr>
          <w:rFonts w:ascii="Arial" w:hAnsi="Arial" w:cs="Arial"/>
          <w:b/>
          <w:bCs/>
          <w:sz w:val="14"/>
          <w:szCs w:val="14"/>
          <w:lang w:val="en-US"/>
        </w:rPr>
      </w:pPr>
      <w:r>
        <w:rPr>
          <w:rFonts w:ascii="Arial" w:hAnsi="Arial" w:cs="Arial"/>
          <w:b/>
          <w:bCs/>
          <w:sz w:val="14"/>
          <w:szCs w:val="14"/>
          <w:lang w:val="en-US"/>
        </w:rPr>
        <w:t>7. OUR LIABILITY</w:t>
      </w:r>
    </w:p>
    <w:p w:rsidR="00D97C1D" w:rsidP="00D97C1D" w:rsidRDefault="00D97C1D" w14:paraId="296F94D9" w14:textId="77777777">
      <w:pPr>
        <w:numPr>
          <w:ilvl w:val="1"/>
          <w:numId w:val="15"/>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We shall not be liable for any failure in the performance of any of our obligations under the Service Agreement arising from circumstances of whatever kind outside our control. No liability shall accrue to us for any gains or losses to you resulting from changes in rates of exchange or blockages or changes in convertibility of foreign currency.</w:t>
      </w:r>
    </w:p>
    <w:p w:rsidR="00D97C1D" w:rsidP="00D97C1D" w:rsidRDefault="00D97C1D" w14:paraId="142552FB" w14:textId="77777777">
      <w:pPr>
        <w:numPr>
          <w:ilvl w:val="1"/>
          <w:numId w:val="15"/>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Where any matter gives rise to a claim against us our liability shall be limited:</w:t>
      </w:r>
    </w:p>
    <w:p w:rsidR="00D97C1D" w:rsidP="00D97C1D" w:rsidRDefault="00D97C1D" w14:paraId="3F426CD2" w14:textId="77777777">
      <w:pPr>
        <w:numPr>
          <w:ilvl w:val="2"/>
          <w:numId w:val="15"/>
        </w:numPr>
        <w:tabs>
          <w:tab w:val="clear" w:pos="765"/>
          <w:tab w:val="num" w:pos="993"/>
        </w:tabs>
        <w:suppressAutoHyphens w:val="0"/>
        <w:autoSpaceDE w:val="0"/>
        <w:autoSpaceDN w:val="0"/>
        <w:adjustRightInd w:val="0"/>
        <w:ind w:left="993" w:hanging="426"/>
        <w:jc w:val="both"/>
        <w:rPr>
          <w:rFonts w:ascii="Arial" w:hAnsi="Arial" w:cs="Arial"/>
          <w:sz w:val="14"/>
          <w:szCs w:val="14"/>
          <w:lang w:val="en-US"/>
        </w:rPr>
      </w:pPr>
      <w:r>
        <w:rPr>
          <w:rFonts w:ascii="Arial" w:hAnsi="Arial" w:cs="Arial"/>
          <w:sz w:val="14"/>
          <w:szCs w:val="14"/>
          <w:lang w:val="en-US"/>
        </w:rPr>
        <w:t xml:space="preserve">in respect of matters where we are able to obtain insurance cover, to the sum we are able to obtain from insurers; and </w:t>
      </w:r>
    </w:p>
    <w:p w:rsidR="00D97C1D" w:rsidP="00D97C1D" w:rsidRDefault="00D97C1D" w14:paraId="71290D20" w14:textId="77777777">
      <w:pPr>
        <w:numPr>
          <w:ilvl w:val="2"/>
          <w:numId w:val="15"/>
        </w:numPr>
        <w:tabs>
          <w:tab w:val="clear" w:pos="765"/>
          <w:tab w:val="num" w:pos="993"/>
        </w:tabs>
        <w:suppressAutoHyphens w:val="0"/>
        <w:autoSpaceDE w:val="0"/>
        <w:autoSpaceDN w:val="0"/>
        <w:adjustRightInd w:val="0"/>
        <w:ind w:left="993" w:hanging="426"/>
        <w:jc w:val="both"/>
        <w:rPr>
          <w:rFonts w:ascii="Arial" w:hAnsi="Arial" w:cs="Arial"/>
          <w:sz w:val="14"/>
          <w:szCs w:val="14"/>
          <w:lang w:val="en-US"/>
        </w:rPr>
      </w:pPr>
      <w:r>
        <w:rPr>
          <w:rFonts w:ascii="Arial" w:hAnsi="Arial" w:cs="Arial"/>
          <w:sz w:val="14"/>
          <w:szCs w:val="14"/>
          <w:lang w:val="en-US"/>
        </w:rPr>
        <w:t>in respect of other matters, to a sum equal to the Applicable Charges referable to the Referred Debt(s) concerned.</w:t>
      </w:r>
    </w:p>
    <w:p w:rsidR="00D97C1D" w:rsidP="00D97C1D" w:rsidRDefault="00D97C1D" w14:paraId="52B186C3" w14:textId="77777777">
      <w:pPr>
        <w:numPr>
          <w:ilvl w:val="1"/>
          <w:numId w:val="15"/>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We shall not be liable in respect of any loss of business, profit or contract nor for any consequential loss by you nor any loss other than your direct loss. Provided that nothing in these Conditions shall serve to limit or exclude our liability for death or personal injury caused by our negligence.</w:t>
      </w:r>
    </w:p>
    <w:p w:rsidR="00D97C1D" w:rsidP="00D97C1D" w:rsidRDefault="00D97C1D" w14:paraId="463F29E8" w14:textId="77777777">
      <w:pPr>
        <w:autoSpaceDE w:val="0"/>
        <w:autoSpaceDN w:val="0"/>
        <w:adjustRightInd w:val="0"/>
        <w:jc w:val="both"/>
        <w:rPr>
          <w:rFonts w:ascii="Arial" w:hAnsi="Arial" w:cs="Arial"/>
          <w:sz w:val="6"/>
          <w:szCs w:val="14"/>
          <w:lang w:val="en-US"/>
        </w:rPr>
      </w:pPr>
    </w:p>
    <w:p w:rsidR="00D97C1D" w:rsidP="00D97C1D" w:rsidRDefault="00D97C1D" w14:paraId="39687258" w14:textId="77777777">
      <w:pPr>
        <w:autoSpaceDE w:val="0"/>
        <w:autoSpaceDN w:val="0"/>
        <w:adjustRightInd w:val="0"/>
        <w:jc w:val="both"/>
        <w:rPr>
          <w:rFonts w:ascii="Arial" w:hAnsi="Arial" w:cs="Arial"/>
          <w:b/>
          <w:bCs/>
          <w:sz w:val="14"/>
          <w:szCs w:val="14"/>
          <w:lang w:val="en-US"/>
        </w:rPr>
      </w:pPr>
      <w:r>
        <w:rPr>
          <w:rFonts w:ascii="Arial" w:hAnsi="Arial" w:cs="Arial"/>
          <w:b/>
          <w:bCs/>
          <w:sz w:val="14"/>
          <w:szCs w:val="14"/>
          <w:lang w:val="en-US"/>
        </w:rPr>
        <w:t>8. ENDING THE AGREEMENT</w:t>
      </w:r>
    </w:p>
    <w:p w:rsidR="00D97C1D" w:rsidP="00D97C1D" w:rsidRDefault="00D97C1D" w14:paraId="13C54630" w14:textId="77777777">
      <w:pPr>
        <w:pStyle w:val="BodyText"/>
        <w:numPr>
          <w:ilvl w:val="1"/>
          <w:numId w:val="17"/>
        </w:numPr>
        <w:tabs>
          <w:tab w:val="clear" w:pos="765"/>
          <w:tab w:val="num" w:pos="567"/>
        </w:tabs>
        <w:suppressAutoHyphens w:val="0"/>
        <w:autoSpaceDN w:val="0"/>
        <w:adjustRightInd w:val="0"/>
        <w:ind w:left="567" w:hanging="425"/>
        <w:jc w:val="both"/>
      </w:pPr>
      <w:r>
        <w:t xml:space="preserve">Without prejudice to Condition 3.6 </w:t>
      </w:r>
      <w:r w:rsidRPr="00605F88">
        <w:t>The Parties</w:t>
      </w:r>
      <w:r>
        <w:t xml:space="preserve"> may terminate the Service Agreement at any time by giving not less than 14 days prior written notice to you.</w:t>
      </w:r>
    </w:p>
    <w:p w:rsidR="00D97C1D" w:rsidP="00D97C1D" w:rsidRDefault="00D97C1D" w14:paraId="50890906" w14:textId="77777777">
      <w:pPr>
        <w:numPr>
          <w:ilvl w:val="1"/>
          <w:numId w:val="17"/>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A waiver by us of a breach of the same or any provision of the Service Agreement shall not be considered as a waiver of any subsequent breach of the same or any other provision hereof.</w:t>
      </w:r>
    </w:p>
    <w:p w:rsidR="00D97C1D" w:rsidP="00D97C1D" w:rsidRDefault="00D97C1D" w14:paraId="70A175E6" w14:textId="77777777">
      <w:pPr>
        <w:numPr>
          <w:ilvl w:val="1"/>
          <w:numId w:val="17"/>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The rights to terminate the Service Agreement given by this Condition 8 shall be without prejudice to any other right or remedy of ours in respect of any breach of the Service Agreement by you and without prejudice to any right expressed to survive termination or expiry.</w:t>
      </w:r>
    </w:p>
    <w:p w:rsidR="00D97C1D" w:rsidP="00D97C1D" w:rsidRDefault="00D97C1D" w14:paraId="15C6CBDF" w14:textId="77777777">
      <w:pPr>
        <w:numPr>
          <w:ilvl w:val="1"/>
          <w:numId w:val="17"/>
        </w:numPr>
        <w:tabs>
          <w:tab w:val="clear" w:pos="765"/>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Neither party shall be under any liability to the other in respect of any failure to carry out or delay in carrying out any of its obligations under the Service Agreement attributable to any cause of whatever nature outside its reasonable control.</w:t>
      </w:r>
    </w:p>
    <w:p w:rsidR="00D97C1D" w:rsidP="00D97C1D" w:rsidRDefault="00D97C1D" w14:paraId="3B7B4B86" w14:textId="77777777">
      <w:pPr>
        <w:autoSpaceDE w:val="0"/>
        <w:autoSpaceDN w:val="0"/>
        <w:adjustRightInd w:val="0"/>
        <w:jc w:val="both"/>
        <w:rPr>
          <w:rFonts w:ascii="Arial" w:hAnsi="Arial" w:cs="Arial"/>
          <w:sz w:val="6"/>
          <w:szCs w:val="14"/>
          <w:lang w:val="en-US"/>
        </w:rPr>
      </w:pPr>
    </w:p>
    <w:p w:rsidR="00D97C1D" w:rsidP="00D97C1D" w:rsidRDefault="00D97C1D" w14:paraId="69F17C16" w14:textId="77777777">
      <w:pPr>
        <w:autoSpaceDE w:val="0"/>
        <w:autoSpaceDN w:val="0"/>
        <w:adjustRightInd w:val="0"/>
        <w:jc w:val="both"/>
        <w:rPr>
          <w:rFonts w:ascii="Arial" w:hAnsi="Arial" w:cs="Arial"/>
          <w:b/>
          <w:bCs/>
          <w:sz w:val="14"/>
          <w:szCs w:val="14"/>
          <w:lang w:val="en-US"/>
        </w:rPr>
      </w:pPr>
      <w:r>
        <w:rPr>
          <w:rFonts w:ascii="Arial" w:hAnsi="Arial" w:cs="Arial"/>
          <w:b/>
          <w:bCs/>
          <w:sz w:val="14"/>
          <w:szCs w:val="14"/>
          <w:lang w:val="en-US"/>
        </w:rPr>
        <w:t>9. NOTICES</w:t>
      </w:r>
    </w:p>
    <w:p w:rsidR="00D97C1D" w:rsidP="00D97C1D" w:rsidRDefault="00D97C1D" w14:paraId="59C5270E" w14:textId="77777777">
      <w:pPr>
        <w:autoSpaceDE w:val="0"/>
        <w:autoSpaceDN w:val="0"/>
        <w:adjustRightInd w:val="0"/>
        <w:jc w:val="both"/>
        <w:rPr>
          <w:rFonts w:ascii="Arial" w:hAnsi="Arial" w:cs="Arial"/>
          <w:sz w:val="14"/>
          <w:szCs w:val="14"/>
          <w:lang w:val="en-US"/>
        </w:rPr>
      </w:pPr>
      <w:r>
        <w:rPr>
          <w:rFonts w:ascii="Arial" w:hAnsi="Arial" w:cs="Arial"/>
          <w:sz w:val="14"/>
          <w:szCs w:val="14"/>
          <w:lang w:val="en-US"/>
        </w:rPr>
        <w:t xml:space="preserve">Any notice to be served on either of the parties by the other shall be in writing (except notice pursuant to Condition 3.6) and shall be sent by prepaid recorded delivery or registered post or by facsimile transmission and shall be deemed to </w:t>
      </w:r>
      <w:r>
        <w:rPr>
          <w:rFonts w:ascii="Arial" w:hAnsi="Arial" w:cs="Arial"/>
          <w:sz w:val="14"/>
          <w:szCs w:val="14"/>
          <w:lang w:val="en-US"/>
        </w:rPr>
        <w:lastRenderedPageBreak/>
        <w:t>have been received by the addressee within 72 hours of posting or 24 hours if sent by facsimile transmission to the correct facsimile number of the addressee.</w:t>
      </w:r>
    </w:p>
    <w:p w:rsidR="00D97C1D" w:rsidP="00D97C1D" w:rsidRDefault="00D97C1D" w14:paraId="3A0FF5F2" w14:textId="77777777">
      <w:pPr>
        <w:autoSpaceDE w:val="0"/>
        <w:autoSpaceDN w:val="0"/>
        <w:adjustRightInd w:val="0"/>
        <w:jc w:val="both"/>
        <w:rPr>
          <w:rFonts w:ascii="Arial" w:hAnsi="Arial" w:cs="Arial"/>
          <w:sz w:val="6"/>
          <w:szCs w:val="14"/>
          <w:lang w:val="en-US"/>
        </w:rPr>
      </w:pPr>
    </w:p>
    <w:p w:rsidR="00D97C1D" w:rsidP="00D97C1D" w:rsidRDefault="00D97C1D" w14:paraId="585E718D" w14:textId="77777777">
      <w:pPr>
        <w:autoSpaceDE w:val="0"/>
        <w:autoSpaceDN w:val="0"/>
        <w:adjustRightInd w:val="0"/>
        <w:rPr>
          <w:rFonts w:ascii="Arial" w:hAnsi="Arial" w:cs="Arial"/>
          <w:b/>
          <w:bCs/>
          <w:sz w:val="14"/>
          <w:szCs w:val="14"/>
          <w:lang w:val="en-US"/>
        </w:rPr>
      </w:pPr>
      <w:r>
        <w:rPr>
          <w:rFonts w:ascii="Arial" w:hAnsi="Arial" w:cs="Arial"/>
          <w:b/>
          <w:bCs/>
          <w:sz w:val="14"/>
          <w:szCs w:val="14"/>
          <w:lang w:val="en-US"/>
        </w:rPr>
        <w:t>10. GENERAL</w:t>
      </w:r>
    </w:p>
    <w:p w:rsidR="00F62218" w:rsidP="00F62218" w:rsidRDefault="00F62218" w14:paraId="5D01E234" w14:textId="77777777">
      <w:pPr>
        <w:numPr>
          <w:ilvl w:val="1"/>
          <w:numId w:val="18"/>
        </w:numPr>
        <w:tabs>
          <w:tab w:val="clear" w:pos="720"/>
          <w:tab w:val="num" w:pos="567"/>
        </w:tabs>
        <w:suppressAutoHyphens w:val="0"/>
        <w:autoSpaceDE w:val="0"/>
        <w:autoSpaceDN w:val="0"/>
        <w:adjustRightInd w:val="0"/>
        <w:ind w:left="567" w:hanging="425"/>
        <w:jc w:val="both"/>
        <w:rPr>
          <w:rFonts w:ascii="Arial" w:hAnsi="Arial" w:cs="Arial"/>
          <w:sz w:val="14"/>
          <w:szCs w:val="14"/>
          <w:lang w:val="en-US"/>
        </w:rPr>
      </w:pPr>
      <w:r w:rsidRPr="00F62218">
        <w:rPr>
          <w:rFonts w:ascii="Arial" w:hAnsi="Arial" w:cs="Arial"/>
          <w:sz w:val="14"/>
          <w:szCs w:val="14"/>
          <w:lang w:val="en-US"/>
        </w:rPr>
        <w:t>You agree that we shall be entitled to enter any information or knowledge derived in the course of providing the Applicable Collection Service excluding your identity as creditor but including (without limitation) the amount of Referred Debts and the identities of the debtors concerned in our records and databases, for use by us.</w:t>
      </w:r>
    </w:p>
    <w:p w:rsidR="00D97C1D" w:rsidP="00D97C1D" w:rsidRDefault="00D97C1D" w14:paraId="4B8ABE19" w14:textId="77777777">
      <w:pPr>
        <w:numPr>
          <w:ilvl w:val="1"/>
          <w:numId w:val="18"/>
        </w:numPr>
        <w:tabs>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If you comprises more than one person or entity all agreements on their part shall be joint and several and the neuter or singular gender throughout the Service Agreement shall include all genders and the plural and the successor in title to the parities.</w:t>
      </w:r>
    </w:p>
    <w:p w:rsidR="00E723D0" w:rsidP="00E723D0" w:rsidRDefault="00D97C1D" w14:paraId="32A675C4" w14:textId="77777777">
      <w:pPr>
        <w:numPr>
          <w:ilvl w:val="1"/>
          <w:numId w:val="18"/>
        </w:numPr>
        <w:tabs>
          <w:tab w:val="num" w:pos="567"/>
        </w:tabs>
        <w:suppressAutoHyphens w:val="0"/>
        <w:autoSpaceDE w:val="0"/>
        <w:autoSpaceDN w:val="0"/>
        <w:adjustRightInd w:val="0"/>
        <w:ind w:left="567" w:hanging="425"/>
        <w:jc w:val="both"/>
        <w:rPr>
          <w:rFonts w:ascii="Arial" w:hAnsi="Arial" w:cs="Arial"/>
          <w:sz w:val="14"/>
          <w:szCs w:val="14"/>
          <w:lang w:val="en-US"/>
        </w:rPr>
      </w:pPr>
      <w:r>
        <w:rPr>
          <w:rFonts w:ascii="Arial" w:hAnsi="Arial" w:cs="Arial"/>
          <w:sz w:val="14"/>
          <w:szCs w:val="14"/>
          <w:lang w:val="en-US"/>
        </w:rPr>
        <w:t>The Service Agreement shall be governed by and interpreted in accordance with the laws of England and you submit and consent to the exclusive jurisdiction of the English Courts in all matters regarding the Service Agreement.</w:t>
      </w:r>
    </w:p>
    <w:p w:rsidR="00E723D0" w:rsidP="00E723D0" w:rsidRDefault="00D97C1D" w14:paraId="4E7AF769" w14:textId="77777777">
      <w:pPr>
        <w:numPr>
          <w:ilvl w:val="1"/>
          <w:numId w:val="18"/>
        </w:numPr>
        <w:tabs>
          <w:tab w:val="num" w:pos="567"/>
        </w:tabs>
        <w:suppressAutoHyphens w:val="0"/>
        <w:autoSpaceDE w:val="0"/>
        <w:autoSpaceDN w:val="0"/>
        <w:adjustRightInd w:val="0"/>
        <w:ind w:left="567" w:hanging="425"/>
        <w:rPr>
          <w:rFonts w:ascii="Arial" w:hAnsi="Arial" w:cs="Arial"/>
          <w:sz w:val="14"/>
          <w:szCs w:val="14"/>
          <w:lang w:val="en-US"/>
        </w:rPr>
      </w:pPr>
      <w:r w:rsidRPr="00E723D0">
        <w:rPr>
          <w:rFonts w:ascii="Arial" w:hAnsi="Arial" w:cs="Arial"/>
          <w:sz w:val="14"/>
          <w:szCs w:val="14"/>
          <w:lang w:val="en-US"/>
        </w:rPr>
        <w:t>Headings are included for ease of reference only and shall not affect the interpretation of these Conditions.</w:t>
      </w:r>
    </w:p>
    <w:p w:rsidR="00E723D0" w:rsidP="00E723D0" w:rsidRDefault="00E723D0" w14:paraId="5630AD66" w14:textId="77777777">
      <w:pPr>
        <w:suppressAutoHyphens w:val="0"/>
        <w:autoSpaceDE w:val="0"/>
        <w:autoSpaceDN w:val="0"/>
        <w:adjustRightInd w:val="0"/>
        <w:rPr>
          <w:rFonts w:ascii="Arial" w:hAnsi="Arial" w:cs="Arial"/>
          <w:sz w:val="14"/>
          <w:szCs w:val="14"/>
          <w:lang w:val="en-US"/>
        </w:rPr>
      </w:pPr>
    </w:p>
    <w:p w:rsidRPr="00E723D0" w:rsidR="00E723D0" w:rsidP="00E723D0" w:rsidRDefault="00E723D0" w14:paraId="5FD6181C" w14:textId="77777777">
      <w:pPr>
        <w:suppressAutoHyphens w:val="0"/>
        <w:autoSpaceDE w:val="0"/>
        <w:autoSpaceDN w:val="0"/>
        <w:adjustRightInd w:val="0"/>
        <w:rPr>
          <w:rFonts w:ascii="Arial" w:hAnsi="Arial" w:cs="Arial"/>
          <w:sz w:val="14"/>
          <w:szCs w:val="14"/>
          <w:lang w:val="en-US"/>
        </w:rPr>
      </w:pPr>
      <w:r w:rsidRPr="00E723D0">
        <w:rPr>
          <w:rFonts w:ascii="Arial" w:hAnsi="Arial" w:cs="Arial"/>
          <w:b/>
          <w:sz w:val="14"/>
          <w:szCs w:val="14"/>
        </w:rPr>
        <w:t>11.  DATA PROTECTION</w:t>
      </w:r>
    </w:p>
    <w:p w:rsidRPr="00A703C5" w:rsidR="00E723D0" w:rsidP="00E723D0" w:rsidRDefault="00E723D0" w14:paraId="6C983939"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Words and expressions defined in the Data Protection Legislation and used in this clause 11 shall have the same meanings in this clause and “Client Personal Data” shall mean any Personal Data owned or controlled by the Client.</w:t>
      </w:r>
    </w:p>
    <w:p w:rsidRPr="00A703C5" w:rsidR="00E723D0" w:rsidP="00E723D0" w:rsidRDefault="00E723D0" w14:paraId="06636302"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 xml:space="preserve">Both Parties shall comply with all applicable requirements of the Data Protection Legislation. This clause is in addition to, and does not relieve, remove or replace, a Party's obligations under the Data Protection Legislation. </w:t>
      </w:r>
    </w:p>
    <w:p w:rsidRPr="00A703C5" w:rsidR="00E723D0" w:rsidP="00E723D0" w:rsidRDefault="00E723D0" w14:paraId="0EB59A0A"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 xml:space="preserve">The Parties agree that, for the purposes of the Data Protection Legislation and this Agreement in respect of the Client Personal Data, the Client shall be a Data Controller and the Supplier shall be a Data Processor of the Client. Schedule 1 to this Agreement sets out the scope, nature and purpose of processing by the Supplier, the duration of the processing and the types of Personal Data and categories of Data Subject.    </w:t>
      </w:r>
    </w:p>
    <w:p w:rsidRPr="00A703C5" w:rsidR="00E723D0" w:rsidP="00E723D0" w:rsidRDefault="00E723D0" w14:paraId="2F8A91E6"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 xml:space="preserve">Without prejudice to the generality of clause </w:t>
      </w:r>
      <w:r>
        <w:rPr>
          <w:rFonts w:ascii="Arial" w:hAnsi="Arial" w:cs="Arial"/>
          <w:sz w:val="14"/>
          <w:szCs w:val="14"/>
        </w:rPr>
        <w:t>11.2</w:t>
      </w:r>
      <w:r w:rsidRPr="00A703C5">
        <w:rPr>
          <w:rFonts w:ascii="Arial" w:hAnsi="Arial" w:cs="Arial"/>
          <w:sz w:val="14"/>
          <w:szCs w:val="14"/>
        </w:rPr>
        <w:t>, the Client will ensure that it has all necessary appropriate notices in place to enable lawful transfer of the Client Personal Data to the Supplier for the duration and purposes of this Agreement.</w:t>
      </w:r>
    </w:p>
    <w:p w:rsidRPr="00A703C5" w:rsidR="00E723D0" w:rsidP="00E723D0" w:rsidRDefault="00E723D0" w14:paraId="5FA4673B"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 xml:space="preserve">Without prejudice to the generality of clause </w:t>
      </w:r>
      <w:r>
        <w:rPr>
          <w:rFonts w:ascii="Arial" w:hAnsi="Arial" w:cs="Arial"/>
          <w:sz w:val="14"/>
          <w:szCs w:val="14"/>
        </w:rPr>
        <w:t>11.</w:t>
      </w:r>
      <w:r w:rsidRPr="00A703C5">
        <w:rPr>
          <w:rFonts w:ascii="Arial" w:hAnsi="Arial" w:cs="Arial"/>
          <w:sz w:val="14"/>
          <w:szCs w:val="14"/>
        </w:rPr>
        <w:t>2 the Supplier shall, in relation to any Client Personal Data processed in connection with the performance by the Supplier of its obligations under this Agreement, process that Client Personal Data:</w:t>
      </w:r>
    </w:p>
    <w:p w:rsidRPr="00A703C5" w:rsidR="00E723D0" w:rsidP="00E723D0" w:rsidRDefault="00E723D0" w14:paraId="5A526942" w14:textId="77777777">
      <w:pPr>
        <w:numPr>
          <w:ilvl w:val="2"/>
          <w:numId w:val="19"/>
        </w:numPr>
        <w:suppressAutoHyphens w:val="0"/>
        <w:ind w:left="584" w:hanging="357"/>
        <w:jc w:val="both"/>
        <w:rPr>
          <w:rFonts w:ascii="Arial" w:hAnsi="Arial" w:cs="Arial"/>
          <w:sz w:val="14"/>
          <w:szCs w:val="14"/>
        </w:rPr>
      </w:pPr>
      <w:r w:rsidRPr="00A703C5">
        <w:rPr>
          <w:rFonts w:ascii="Arial" w:hAnsi="Arial" w:cs="Arial"/>
          <w:sz w:val="14"/>
          <w:szCs w:val="14"/>
        </w:rPr>
        <w:t>only for the purpose of providing the Services in accordance with the provisions of the Agreement; and</w:t>
      </w:r>
    </w:p>
    <w:p w:rsidRPr="00A703C5" w:rsidR="00E723D0" w:rsidP="00E723D0" w:rsidRDefault="00E723D0" w14:paraId="7BCBB276" w14:textId="77777777">
      <w:pPr>
        <w:numPr>
          <w:ilvl w:val="2"/>
          <w:numId w:val="19"/>
        </w:numPr>
        <w:suppressAutoHyphens w:val="0"/>
        <w:ind w:left="584" w:hanging="357"/>
        <w:jc w:val="both"/>
        <w:rPr>
          <w:rFonts w:ascii="Arial" w:hAnsi="Arial" w:cs="Arial"/>
          <w:sz w:val="14"/>
          <w:szCs w:val="14"/>
        </w:rPr>
      </w:pPr>
      <w:r w:rsidRPr="00A703C5">
        <w:rPr>
          <w:rFonts w:ascii="Arial" w:hAnsi="Arial" w:cs="Arial"/>
          <w:sz w:val="14"/>
          <w:szCs w:val="14"/>
        </w:rPr>
        <w:t>only on the written instructions of the Client unless the Supplier is required by the laws of any member of the European Union or by the laws of the European Union applicable to the Supplier to process Personal Data (Applicable Laws). Where the Supplier is relying on laws of a member of the European Union or European Union law as the basis for processing Client Personal Data, the Supplier shall promptly notify the Client of this before performing the processing required by the Applicable Laws unless those Applicable Laws prohibit the Supplier from so notifying the Client.</w:t>
      </w:r>
    </w:p>
    <w:p w:rsidRPr="00A703C5" w:rsidR="00E723D0" w:rsidP="00E723D0" w:rsidRDefault="00E723D0" w14:paraId="0CD6DC36"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 xml:space="preserve">Notwithstanding the provisions of clause </w:t>
      </w:r>
      <w:r>
        <w:rPr>
          <w:rFonts w:ascii="Arial" w:hAnsi="Arial" w:cs="Arial"/>
          <w:sz w:val="14"/>
          <w:szCs w:val="14"/>
        </w:rPr>
        <w:t>11.</w:t>
      </w:r>
      <w:r w:rsidRPr="00A703C5">
        <w:rPr>
          <w:rFonts w:ascii="Arial" w:hAnsi="Arial" w:cs="Arial"/>
          <w:sz w:val="14"/>
          <w:szCs w:val="14"/>
        </w:rPr>
        <w:t xml:space="preserve">5, the Parties shall co-operate to use Client Personal Data to create a single customer view and the Parties acknowledge and agree that such co-operation supports their respective Treating Customers Fairly policy. </w:t>
      </w:r>
    </w:p>
    <w:p w:rsidRPr="00A703C5" w:rsidR="00E723D0" w:rsidP="00E723D0" w:rsidRDefault="00E723D0" w14:paraId="1DB63E19"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The Supplier shall:</w:t>
      </w:r>
    </w:p>
    <w:p w:rsidRPr="00A703C5" w:rsidR="00E723D0" w:rsidP="00E723D0" w:rsidRDefault="00E723D0" w14:paraId="20FA3F0F" w14:textId="77777777">
      <w:pPr>
        <w:numPr>
          <w:ilvl w:val="2"/>
          <w:numId w:val="19"/>
        </w:numPr>
        <w:suppressAutoHyphens w:val="0"/>
        <w:ind w:left="584" w:hanging="357"/>
        <w:jc w:val="both"/>
        <w:rPr>
          <w:rFonts w:ascii="Arial" w:hAnsi="Arial" w:cs="Arial"/>
          <w:sz w:val="14"/>
          <w:szCs w:val="14"/>
        </w:rPr>
      </w:pPr>
      <w:r w:rsidRPr="00A703C5">
        <w:rPr>
          <w:rFonts w:ascii="Arial" w:hAnsi="Arial" w:cs="Arial"/>
          <w:sz w:val="14"/>
          <w:szCs w:val="14"/>
        </w:rPr>
        <w:t>ensure that it has in place appropriate technical and organisational measures, to protect against unauthorised or unlawful processing of Client Personal Data and against accidental loss or destruction of, or damage to, Client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Client Personal Data, ensuring confidentiality, integrity, availability and resilience of its systems and services, ensuring that availability of and access to Client Personal Data can be restored in a timely manner after an incident, and regularly assessing and evaluating the effectiveness of the technical and organisational measures adopted by it); and</w:t>
      </w:r>
    </w:p>
    <w:p w:rsidRPr="00A703C5" w:rsidR="00E723D0" w:rsidP="00E723D0" w:rsidRDefault="00E723D0" w14:paraId="0ED86B0A" w14:textId="77777777">
      <w:pPr>
        <w:numPr>
          <w:ilvl w:val="2"/>
          <w:numId w:val="19"/>
        </w:numPr>
        <w:suppressAutoHyphens w:val="0"/>
        <w:ind w:left="584" w:hanging="357"/>
        <w:jc w:val="both"/>
        <w:rPr>
          <w:rFonts w:ascii="Arial" w:hAnsi="Arial" w:cs="Arial"/>
          <w:sz w:val="14"/>
          <w:szCs w:val="14"/>
        </w:rPr>
      </w:pPr>
      <w:r w:rsidRPr="00A703C5">
        <w:rPr>
          <w:rFonts w:ascii="Arial" w:hAnsi="Arial" w:cs="Arial"/>
          <w:sz w:val="14"/>
          <w:szCs w:val="14"/>
        </w:rPr>
        <w:t>notify the Client without undue delay [and in any event within 48 hours] of becoming aware of a Client Personal Data breach.</w:t>
      </w:r>
    </w:p>
    <w:p w:rsidRPr="00A703C5" w:rsidR="00E723D0" w:rsidP="00E723D0" w:rsidRDefault="00E723D0" w14:paraId="26914AFA"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The Supplier shall, in relation to any Client Personal Data processed by the Supplier in connection with this Agreement, co-operate with and assist the Client, as far as is reasonable and at the Client’s cost:</w:t>
      </w:r>
    </w:p>
    <w:p w:rsidRPr="00A703C5" w:rsidR="00E723D0" w:rsidP="00E723D0" w:rsidRDefault="00E723D0" w14:paraId="7E5431BB" w14:textId="77777777">
      <w:pPr>
        <w:numPr>
          <w:ilvl w:val="2"/>
          <w:numId w:val="19"/>
        </w:numPr>
        <w:suppressAutoHyphens w:val="0"/>
        <w:ind w:left="584" w:hanging="357"/>
        <w:jc w:val="both"/>
        <w:rPr>
          <w:rFonts w:ascii="Arial" w:hAnsi="Arial" w:cs="Arial"/>
          <w:sz w:val="14"/>
          <w:szCs w:val="14"/>
        </w:rPr>
      </w:pPr>
      <w:r w:rsidRPr="00A703C5">
        <w:rPr>
          <w:rFonts w:ascii="Arial" w:hAnsi="Arial" w:cs="Arial"/>
          <w:sz w:val="14"/>
          <w:szCs w:val="14"/>
        </w:rPr>
        <w:t xml:space="preserve">in responding to and complying with any request from a Data Subject; </w:t>
      </w:r>
    </w:p>
    <w:p w:rsidRPr="00A703C5" w:rsidR="00E723D0" w:rsidP="00E723D0" w:rsidRDefault="00E723D0" w14:paraId="5126D323" w14:textId="77777777">
      <w:pPr>
        <w:numPr>
          <w:ilvl w:val="2"/>
          <w:numId w:val="19"/>
        </w:numPr>
        <w:suppressAutoHyphens w:val="0"/>
        <w:ind w:left="584" w:hanging="357"/>
        <w:jc w:val="both"/>
        <w:rPr>
          <w:rFonts w:ascii="Arial" w:hAnsi="Arial" w:cs="Arial"/>
          <w:sz w:val="14"/>
          <w:szCs w:val="14"/>
        </w:rPr>
      </w:pPr>
      <w:r w:rsidRPr="00A703C5">
        <w:rPr>
          <w:rFonts w:ascii="Arial" w:hAnsi="Arial" w:cs="Arial"/>
          <w:sz w:val="14"/>
          <w:szCs w:val="14"/>
        </w:rPr>
        <w:t>in dealing with any enquiry made, or investigation or assessment of processing initiated by, the Information Commissioner and/or any other relevant supervisory authority or regulator; and</w:t>
      </w:r>
    </w:p>
    <w:p w:rsidRPr="00A703C5" w:rsidR="00E723D0" w:rsidP="00E723D0" w:rsidRDefault="00E723D0" w14:paraId="6642A7E5" w14:textId="77777777">
      <w:pPr>
        <w:numPr>
          <w:ilvl w:val="2"/>
          <w:numId w:val="19"/>
        </w:numPr>
        <w:suppressAutoHyphens w:val="0"/>
        <w:ind w:left="584" w:hanging="357"/>
        <w:jc w:val="both"/>
        <w:rPr>
          <w:rFonts w:ascii="Arial" w:hAnsi="Arial" w:cs="Arial"/>
          <w:sz w:val="14"/>
          <w:szCs w:val="14"/>
        </w:rPr>
      </w:pPr>
      <w:r w:rsidRPr="00A703C5">
        <w:rPr>
          <w:rFonts w:ascii="Arial" w:hAnsi="Arial" w:cs="Arial"/>
          <w:sz w:val="14"/>
          <w:szCs w:val="14"/>
        </w:rPr>
        <w:t>in ensuring compliance with the Client’s obligations under the Data Protection Legislation with respect to security, breach notifications (to the Information Commissioner and/or any other relevant supervisory authority or regulator and/or the data subject), and data protection impact assessments (including prior consultation with the Information Commissioner and/or any other relevant supervisory authority or regulator).</w:t>
      </w:r>
    </w:p>
    <w:p w:rsidRPr="00074BB7" w:rsidR="00E723D0" w:rsidP="00E723D0" w:rsidRDefault="00E723D0" w14:paraId="6CC59D77" w14:textId="77777777">
      <w:pPr>
        <w:numPr>
          <w:ilvl w:val="1"/>
          <w:numId w:val="19"/>
        </w:numPr>
        <w:suppressAutoHyphens w:val="0"/>
        <w:jc w:val="both"/>
        <w:rPr>
          <w:rFonts w:ascii="Arial" w:hAnsi="Arial" w:cs="Arial"/>
          <w:sz w:val="14"/>
          <w:szCs w:val="14"/>
        </w:rPr>
      </w:pPr>
      <w:r w:rsidRPr="00074BB7">
        <w:rPr>
          <w:rFonts w:ascii="Arial" w:hAnsi="Arial" w:cs="Arial"/>
          <w:sz w:val="14"/>
          <w:szCs w:val="14"/>
        </w:rPr>
        <w:t xml:space="preserve">The Supplier shall maintain complete and accurate records and information to demonstrate its compliance with this clause 11 (including the information set out in Schedule 1 to this Agreement) and shall allow for audits, including inspections, by the Client or the Client’s designated auditors in relation to the processing of Client Personal Data under this Agreement.  The Client undertaking any audit or inspection shall give the Supplier reasonable notice of any audit or inspection to be conducted under this clause and </w:t>
      </w:r>
      <w:r w:rsidRPr="00074BB7">
        <w:rPr>
          <w:rFonts w:ascii="Arial" w:hAnsi="Arial" w:cs="Arial"/>
          <w:sz w:val="14"/>
          <w:szCs w:val="14"/>
        </w:rPr>
        <w:t>shall make, and procure that its designated auditors make, reasonable endeavours to avoid causing (or if it cannot avoid, to minimise) any damage, injury or disruption to the Supplier’s premises, equipment, personnel and business while its personnel are on those premises in the course of such an audit or inspection.</w:t>
      </w:r>
    </w:p>
    <w:p w:rsidRPr="00A703C5" w:rsidR="00E723D0" w:rsidP="00E723D0" w:rsidRDefault="00E723D0" w14:paraId="2201F86D"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All Client Personal Data processed by the Supplier shall belong to the Client. The Supplier shall, on request, provide the Client with copies of Client Personal Data.  On termination of this Agreement the Supplier shall, at the absolute discretion of the Client and upon its written request, either  transfer all Client Personal Data to the Client or delete all Client Personal Data  without keeping any copies (except to the extent and for the period required by Applicable Laws).  The Parties acknowledge and agree that the Supplier will need to retain a single copy of the Client Personal Data for a period of six years from the termination of this Agreement for legal purposes provided always that the Supplier shall ensure the confidentiality of such data and shall ensure that such data is only processed as necessary for such purposes requiring its storage and for no other purpose.</w:t>
      </w:r>
    </w:p>
    <w:p w:rsidRPr="00A703C5" w:rsidR="00E723D0" w:rsidP="00E723D0" w:rsidRDefault="00E723D0" w14:paraId="672310B5"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For the avoidance of doubt the Supplier sub-contractors referred to in Schedule 2 are approved by the Client for use in relation to the performance by the Supplier of this Agreement.</w:t>
      </w:r>
    </w:p>
    <w:p w:rsidRPr="00A703C5" w:rsidR="00E723D0" w:rsidP="00E723D0" w:rsidRDefault="00E723D0" w14:paraId="2015AD75" w14:textId="77777777">
      <w:pPr>
        <w:numPr>
          <w:ilvl w:val="1"/>
          <w:numId w:val="19"/>
        </w:numPr>
        <w:suppressAutoHyphens w:val="0"/>
        <w:rPr>
          <w:rFonts w:ascii="Arial" w:hAnsi="Arial" w:cs="Arial"/>
          <w:sz w:val="14"/>
          <w:szCs w:val="14"/>
        </w:rPr>
      </w:pPr>
      <w:r w:rsidRPr="00A703C5">
        <w:rPr>
          <w:rFonts w:ascii="Arial" w:hAnsi="Arial" w:cs="Arial"/>
          <w:sz w:val="14"/>
          <w:szCs w:val="14"/>
        </w:rPr>
        <w:t xml:space="preserve">The Supplier may continue to use those third-party processors already engaged by the Supplier as at the date of this Agreement, subject to the Supplier in each case as soon as practicable meeting the obligations set out in clause 11.13. </w:t>
      </w:r>
    </w:p>
    <w:p w:rsidR="00E723D0" w:rsidP="00E723D0" w:rsidRDefault="00E723D0" w14:paraId="20FDCF4B" w14:textId="77777777">
      <w:pPr>
        <w:numPr>
          <w:ilvl w:val="1"/>
          <w:numId w:val="19"/>
        </w:numPr>
        <w:suppressAutoHyphens w:val="0"/>
        <w:jc w:val="both"/>
        <w:rPr>
          <w:rFonts w:ascii="Arial" w:hAnsi="Arial" w:cs="Arial"/>
          <w:sz w:val="14"/>
          <w:szCs w:val="14"/>
        </w:rPr>
      </w:pPr>
      <w:r w:rsidRPr="00A703C5">
        <w:rPr>
          <w:rFonts w:ascii="Arial" w:hAnsi="Arial" w:cs="Arial"/>
          <w:sz w:val="14"/>
          <w:szCs w:val="14"/>
        </w:rPr>
        <w:t>Where the Client approves the appointment of a third party processor the Supplier shall enter with the third party processor into a written agreement incorporating terms which are substantially similar to those set out in clause 11 of this Agreement and the written agreement shall terminate automatically on termination of this Agreement for any reason. The Supplier shall be fully responsible for all acts or omissions of any third party processor appointed by it pursuant to this clause 11 as if the act or omission was that of the Supplier.</w:t>
      </w:r>
    </w:p>
    <w:p w:rsidR="00D97C1D" w:rsidP="00E723D0" w:rsidRDefault="00E723D0" w14:paraId="423C671D" w14:textId="77777777">
      <w:pPr>
        <w:numPr>
          <w:ilvl w:val="1"/>
          <w:numId w:val="19"/>
        </w:numPr>
        <w:suppressAutoHyphens w:val="0"/>
        <w:jc w:val="both"/>
        <w:rPr>
          <w:rFonts w:ascii="Arial" w:hAnsi="Arial" w:cs="Arial"/>
          <w:sz w:val="14"/>
          <w:szCs w:val="14"/>
        </w:rPr>
      </w:pPr>
      <w:r w:rsidRPr="00E723D0">
        <w:rPr>
          <w:rFonts w:ascii="Arial" w:hAnsi="Arial" w:cs="Arial"/>
          <w:sz w:val="14"/>
          <w:szCs w:val="14"/>
        </w:rPr>
        <w:t>Either Party may, at any time on not less than 30 days’ notice, revise this clause 11 by replacing it with any applicable controller to processor standard clauses or similar terms forming part of an applicable certification scheme (which shall apply when replaced by attachment to this agreement).</w:t>
      </w:r>
    </w:p>
    <w:p w:rsidR="00E723D0" w:rsidP="00E723D0" w:rsidRDefault="00E723D0" w14:paraId="61829076" w14:textId="77777777">
      <w:pPr>
        <w:suppressAutoHyphens w:val="0"/>
        <w:jc w:val="both"/>
        <w:rPr>
          <w:rFonts w:ascii="Arial" w:hAnsi="Arial" w:cs="Arial"/>
          <w:sz w:val="14"/>
          <w:szCs w:val="14"/>
        </w:rPr>
        <w:sectPr w:rsidR="00E723D0" w:rsidSect="00E723D0">
          <w:type w:val="continuous"/>
          <w:pgSz w:w="11907" w:h="16840" w:orient="portrait" w:code="9"/>
          <w:pgMar w:top="284" w:right="595" w:bottom="284" w:left="397" w:header="227" w:footer="0" w:gutter="0"/>
          <w:cols w:equalWidth="0" w:space="720" w:num="2">
            <w:col w:w="5097" w:space="720"/>
            <w:col w:w="5097"/>
          </w:cols>
          <w:docGrid w:linePitch="360"/>
        </w:sectPr>
      </w:pPr>
      <w:r>
        <w:rPr>
          <w:rFonts w:ascii="Arial" w:hAnsi="Arial" w:cs="Arial"/>
          <w:sz w:val="14"/>
          <w:szCs w:val="14"/>
        </w:rPr>
        <w:br/>
      </w:r>
    </w:p>
    <w:p w:rsidR="005060E3" w:rsidP="002F6C4F" w:rsidRDefault="005060E3" w14:paraId="2BA226A1" w14:textId="77777777">
      <w:pPr>
        <w:spacing w:line="360" w:lineRule="auto"/>
        <w:ind w:left="397"/>
        <w:rPr>
          <w:rFonts w:ascii="Arial" w:hAnsi="Arial" w:cs="Arial"/>
          <w:b/>
          <w:sz w:val="18"/>
          <w:szCs w:val="18"/>
          <w:u w:val="single"/>
          <w:lang w:val="en-US"/>
        </w:rPr>
      </w:pPr>
    </w:p>
    <w:p w:rsidR="002F6C4F" w:rsidP="002F6C4F" w:rsidRDefault="002F6C4F" w14:paraId="3EAB5238" w14:textId="77777777">
      <w:pPr>
        <w:spacing w:line="360" w:lineRule="auto"/>
        <w:ind w:left="397"/>
        <w:rPr>
          <w:rFonts w:ascii="Arial" w:hAnsi="Arial" w:cs="Arial"/>
          <w:b/>
          <w:sz w:val="18"/>
          <w:szCs w:val="18"/>
          <w:u w:val="single"/>
          <w:lang w:val="en-US"/>
        </w:rPr>
      </w:pPr>
      <w:r w:rsidRPr="001136BD">
        <w:rPr>
          <w:rFonts w:ascii="Arial" w:hAnsi="Arial" w:cs="Arial"/>
          <w:b/>
          <w:sz w:val="18"/>
          <w:szCs w:val="18"/>
          <w:u w:val="single"/>
          <w:lang w:val="en-US"/>
        </w:rPr>
        <w:t>SCHEDULE 1</w:t>
      </w:r>
    </w:p>
    <w:p w:rsidR="002F6C4F" w:rsidP="002F6C4F" w:rsidRDefault="002F6C4F" w14:paraId="2FE2266A" w14:textId="77777777">
      <w:pPr>
        <w:spacing w:before="240" w:after="240"/>
        <w:ind w:left="426"/>
        <w:rPr>
          <w:rFonts w:ascii="Arial" w:hAnsi="Arial" w:cs="Arial"/>
          <w:b/>
          <w:sz w:val="18"/>
          <w:szCs w:val="18"/>
          <w:u w:val="single"/>
        </w:rPr>
      </w:pPr>
      <w:r w:rsidRPr="0040083B">
        <w:rPr>
          <w:rFonts w:ascii="Arial" w:hAnsi="Arial" w:cs="Arial"/>
          <w:b/>
          <w:sz w:val="18"/>
          <w:szCs w:val="18"/>
          <w:u w:val="single"/>
        </w:rPr>
        <w:t>Processing, Personal Data and Data Subjects</w:t>
      </w:r>
      <w:r>
        <w:rPr>
          <w:rFonts w:ascii="Arial" w:hAnsi="Arial" w:cs="Arial"/>
          <w:b/>
          <w:sz w:val="18"/>
          <w:szCs w:val="18"/>
          <w:u w:val="single"/>
        </w:rPr>
        <w:br/>
      </w:r>
    </w:p>
    <w:tbl>
      <w:tblPr>
        <w:tblStyle w:val="LightList-Accent11"/>
        <w:tblW w:w="10047" w:type="dxa"/>
        <w:jc w:val="center"/>
        <w:tblBorders>
          <w:insideH w:val="single" w:color="4F81BD" w:themeColor="accent1" w:sz="8" w:space="0"/>
          <w:insideV w:val="single" w:color="4F81BD" w:themeColor="accent1" w:sz="8" w:space="0"/>
        </w:tblBorders>
        <w:tblLayout w:type="fixed"/>
        <w:tblLook w:val="06A0" w:firstRow="1" w:lastRow="0" w:firstColumn="1" w:lastColumn="0" w:noHBand="1" w:noVBand="1"/>
      </w:tblPr>
      <w:tblGrid>
        <w:gridCol w:w="2943"/>
        <w:gridCol w:w="7104"/>
      </w:tblGrid>
      <w:tr w:rsidRPr="00530583" w:rsidR="002F6C4F" w:rsidTr="00E47818" w14:paraId="505AF9C2" w14:textId="77777777">
        <w:trPr>
          <w:cnfStyle w:val="100000000000" w:firstRow="1" w:lastRow="0" w:firstColumn="0" w:lastColumn="0" w:oddVBand="0" w:evenVBand="0" w:oddHBand="0" w:evenHBand="0" w:firstRowFirstColumn="0" w:firstRowLastColumn="0" w:lastRowFirstColumn="0" w:lastRowLastColumn="0"/>
          <w:trHeight w:val="655" w:hRule="exact"/>
          <w:jc w:val="center"/>
        </w:trPr>
        <w:tc>
          <w:tcPr>
            <w:cnfStyle w:val="001000000000" w:firstRow="0" w:lastRow="0" w:firstColumn="1" w:lastColumn="0" w:oddVBand="0" w:evenVBand="0" w:oddHBand="0" w:evenHBand="0" w:firstRowFirstColumn="0" w:firstRowLastColumn="0" w:lastRowFirstColumn="0" w:lastRowLastColumn="0"/>
            <w:tcW w:w="2943" w:type="dxa"/>
          </w:tcPr>
          <w:p w:rsidRPr="00530583" w:rsidR="002F6C4F" w:rsidP="00E47818" w:rsidRDefault="002F6C4F" w14:paraId="31FF54C8" w14:textId="77777777">
            <w:pPr>
              <w:spacing w:before="120" w:after="120"/>
              <w:rPr>
                <w:rFonts w:ascii="Arial" w:hAnsi="Arial" w:cs="Arial"/>
                <w:sz w:val="18"/>
                <w:szCs w:val="18"/>
                <w:highlight w:val="yellow"/>
                <w:lang w:eastAsia="en-GB"/>
              </w:rPr>
            </w:pPr>
            <w:r w:rsidRPr="00530583">
              <w:rPr>
                <w:rFonts w:ascii="Arial" w:hAnsi="Arial" w:cs="Arial"/>
                <w:sz w:val="18"/>
                <w:szCs w:val="18"/>
                <w:lang w:eastAsia="en-GB"/>
              </w:rPr>
              <w:t>Description</w:t>
            </w:r>
          </w:p>
        </w:tc>
        <w:tc>
          <w:tcPr>
            <w:tcW w:w="7104" w:type="dxa"/>
          </w:tcPr>
          <w:p w:rsidRPr="00530583" w:rsidR="002F6C4F" w:rsidP="00E47818" w:rsidRDefault="002F6C4F" w14:paraId="0231F8D0" w14:textId="7777777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18"/>
                <w:szCs w:val="18"/>
                <w:highlight w:val="yellow"/>
                <w:lang w:eastAsia="en-GB"/>
              </w:rPr>
            </w:pPr>
            <w:r w:rsidRPr="00530583">
              <w:rPr>
                <w:rFonts w:ascii="Arial" w:hAnsi="Arial" w:cs="Arial"/>
                <w:sz w:val="18"/>
                <w:szCs w:val="18"/>
                <w:lang w:eastAsia="en-GB"/>
              </w:rPr>
              <w:t>Details</w:t>
            </w:r>
          </w:p>
        </w:tc>
      </w:tr>
      <w:tr w:rsidRPr="00530583" w:rsidR="002F6C4F" w:rsidTr="00E47818" w14:paraId="18C9AE31"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2943" w:type="dxa"/>
          </w:tcPr>
          <w:p w:rsidRPr="00530583" w:rsidR="002F6C4F" w:rsidP="00E47818" w:rsidRDefault="002F6C4F" w14:paraId="0BFD57D8" w14:textId="77777777">
            <w:pPr>
              <w:spacing w:before="120" w:after="120"/>
              <w:rPr>
                <w:rFonts w:ascii="Arial" w:hAnsi="Arial" w:cs="Arial"/>
                <w:sz w:val="18"/>
                <w:szCs w:val="18"/>
                <w:highlight w:val="yellow"/>
                <w:lang w:eastAsia="en-GB"/>
              </w:rPr>
            </w:pPr>
            <w:r w:rsidRPr="00530583">
              <w:rPr>
                <w:rFonts w:ascii="Arial" w:hAnsi="Arial" w:cs="Arial"/>
                <w:sz w:val="18"/>
                <w:szCs w:val="18"/>
                <w:lang w:eastAsia="en-GB"/>
              </w:rPr>
              <w:t>Subject matter of the processing</w:t>
            </w:r>
          </w:p>
        </w:tc>
        <w:tc>
          <w:tcPr>
            <w:tcW w:w="7104" w:type="dxa"/>
          </w:tcPr>
          <w:p w:rsidRPr="00530583" w:rsidR="002F6C4F" w:rsidP="00E47818" w:rsidRDefault="002F6C4F" w14:paraId="4D2950A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lang w:eastAsia="en-GB"/>
              </w:rPr>
            </w:pPr>
            <w:r w:rsidRPr="00530583">
              <w:rPr>
                <w:rFonts w:ascii="Arial" w:hAnsi="Arial" w:cs="Arial"/>
                <w:sz w:val="18"/>
                <w:szCs w:val="18"/>
                <w:lang w:eastAsia="en-GB"/>
              </w:rPr>
              <w:t>STA International processes data for the provision</w:t>
            </w:r>
            <w:r>
              <w:rPr>
                <w:rFonts w:ascii="Arial" w:hAnsi="Arial" w:cs="Arial"/>
                <w:sz w:val="18"/>
                <w:szCs w:val="18"/>
                <w:lang w:eastAsia="en-GB"/>
              </w:rPr>
              <w:t xml:space="preserve"> of</w:t>
            </w:r>
            <w:r w:rsidRPr="00530583">
              <w:rPr>
                <w:rFonts w:ascii="Arial" w:hAnsi="Arial" w:cs="Arial"/>
                <w:sz w:val="18"/>
                <w:szCs w:val="18"/>
                <w:lang w:eastAsia="en-GB"/>
              </w:rPr>
              <w:t xml:space="preserve"> debt collection services, including trace and legal services.</w:t>
            </w:r>
          </w:p>
        </w:tc>
      </w:tr>
      <w:tr w:rsidRPr="00530583" w:rsidR="002F6C4F" w:rsidTr="00E47818" w14:paraId="32AFF2C1"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2943" w:type="dxa"/>
          </w:tcPr>
          <w:p w:rsidRPr="00530583" w:rsidR="002F6C4F" w:rsidP="00E47818" w:rsidRDefault="002F6C4F" w14:paraId="2306B285" w14:textId="77777777">
            <w:pPr>
              <w:spacing w:before="120" w:after="120"/>
              <w:rPr>
                <w:rFonts w:ascii="Arial" w:hAnsi="Arial" w:cs="Arial"/>
                <w:sz w:val="18"/>
                <w:szCs w:val="18"/>
                <w:highlight w:val="yellow"/>
                <w:lang w:eastAsia="en-GB"/>
              </w:rPr>
            </w:pPr>
            <w:r w:rsidRPr="00530583">
              <w:rPr>
                <w:rFonts w:ascii="Arial" w:hAnsi="Arial" w:cs="Arial"/>
                <w:sz w:val="18"/>
                <w:szCs w:val="18"/>
                <w:lang w:eastAsia="en-GB"/>
              </w:rPr>
              <w:t>Duration of the processing</w:t>
            </w:r>
          </w:p>
        </w:tc>
        <w:tc>
          <w:tcPr>
            <w:tcW w:w="7104" w:type="dxa"/>
          </w:tcPr>
          <w:p w:rsidRPr="00530583" w:rsidR="002F6C4F" w:rsidP="00E47818" w:rsidRDefault="002F6C4F" w14:paraId="150BAC7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lang w:eastAsia="en-GB"/>
              </w:rPr>
            </w:pPr>
            <w:r w:rsidRPr="00530583">
              <w:rPr>
                <w:rFonts w:ascii="Arial" w:hAnsi="Arial" w:cs="Arial"/>
                <w:sz w:val="18"/>
                <w:szCs w:val="18"/>
                <w:lang w:eastAsia="en-GB"/>
              </w:rPr>
              <w:t>Processing activities are ongoing until outstanding amounts are fully paid, written off and retention policy has expired.</w:t>
            </w:r>
          </w:p>
        </w:tc>
      </w:tr>
      <w:tr w:rsidRPr="00530583" w:rsidR="002F6C4F" w:rsidTr="00E47818" w14:paraId="3753FA01" w14:textId="77777777">
        <w:trPr>
          <w:trHeight w:val="1619" w:hRule="exact"/>
          <w:jc w:val="center"/>
        </w:trPr>
        <w:tc>
          <w:tcPr>
            <w:cnfStyle w:val="001000000000" w:firstRow="0" w:lastRow="0" w:firstColumn="1" w:lastColumn="0" w:oddVBand="0" w:evenVBand="0" w:oddHBand="0" w:evenHBand="0" w:firstRowFirstColumn="0" w:firstRowLastColumn="0" w:lastRowFirstColumn="0" w:lastRowLastColumn="0"/>
            <w:tcW w:w="2943" w:type="dxa"/>
          </w:tcPr>
          <w:p w:rsidRPr="00530583" w:rsidR="002F6C4F" w:rsidP="00E47818" w:rsidRDefault="002F6C4F" w14:paraId="07EE2D2B" w14:textId="77777777">
            <w:pPr>
              <w:spacing w:before="120" w:after="120"/>
              <w:rPr>
                <w:rFonts w:ascii="Arial" w:hAnsi="Arial" w:cs="Arial"/>
                <w:sz w:val="18"/>
                <w:szCs w:val="18"/>
                <w:highlight w:val="yellow"/>
                <w:lang w:eastAsia="en-GB"/>
              </w:rPr>
            </w:pPr>
            <w:r w:rsidRPr="00530583">
              <w:rPr>
                <w:rFonts w:ascii="Arial" w:hAnsi="Arial" w:cs="Arial"/>
                <w:sz w:val="18"/>
                <w:szCs w:val="18"/>
                <w:lang w:eastAsia="en-GB"/>
              </w:rPr>
              <w:t>Nature and purposes of the processing</w:t>
            </w:r>
          </w:p>
        </w:tc>
        <w:tc>
          <w:tcPr>
            <w:tcW w:w="7104" w:type="dxa"/>
          </w:tcPr>
          <w:p w:rsidRPr="00530583" w:rsidR="002F6C4F" w:rsidP="00E47818" w:rsidRDefault="002F6C4F" w14:paraId="3D56CBE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530583">
              <w:rPr>
                <w:rFonts w:ascii="Arial" w:hAnsi="Arial" w:cs="Arial"/>
                <w:sz w:val="18"/>
                <w:szCs w:val="18"/>
                <w:lang w:eastAsia="en-GB"/>
              </w:rPr>
              <w:t>Collection, recording, organisation, structuring, storage, adaptation or alteration, retrieval, consultation, use, disclosure by transmission, dissemination or otherwise making available, alignment or combination, restriction, erasure or destruction for the purposes of tracing debtors and recovering monies due to the Client.</w:t>
            </w:r>
          </w:p>
          <w:p w:rsidRPr="00530583" w:rsidR="002F6C4F" w:rsidP="00E47818" w:rsidRDefault="002F6C4F" w14:paraId="168FB37B"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lang w:eastAsia="en-GB"/>
              </w:rPr>
            </w:pPr>
            <w:r w:rsidRPr="00530583">
              <w:rPr>
                <w:rFonts w:ascii="Arial" w:hAnsi="Arial" w:cs="Arial"/>
                <w:sz w:val="18"/>
                <w:szCs w:val="18"/>
                <w:lang w:eastAsia="en-GB"/>
              </w:rPr>
              <w:t>STA International shall be the processor where it is processing personal data for the purpose of recovering debts owed to the Client.</w:t>
            </w:r>
          </w:p>
        </w:tc>
      </w:tr>
      <w:tr w:rsidRPr="00530583" w:rsidR="002F6C4F" w:rsidTr="00E47818" w14:paraId="53784726" w14:textId="77777777">
        <w:trPr>
          <w:trHeight w:val="2792"/>
          <w:jc w:val="center"/>
        </w:trPr>
        <w:tc>
          <w:tcPr>
            <w:cnfStyle w:val="001000000000" w:firstRow="0" w:lastRow="0" w:firstColumn="1" w:lastColumn="0" w:oddVBand="0" w:evenVBand="0" w:oddHBand="0" w:evenHBand="0" w:firstRowFirstColumn="0" w:firstRowLastColumn="0" w:lastRowFirstColumn="0" w:lastRowLastColumn="0"/>
            <w:tcW w:w="2943" w:type="dxa"/>
          </w:tcPr>
          <w:p w:rsidRPr="00530583" w:rsidR="002F6C4F" w:rsidP="00E47818" w:rsidRDefault="002F6C4F" w14:paraId="0E6DF1C6" w14:textId="77777777">
            <w:pPr>
              <w:spacing w:before="120" w:after="120"/>
              <w:rPr>
                <w:rFonts w:ascii="Arial" w:hAnsi="Arial" w:cs="Arial"/>
                <w:sz w:val="18"/>
                <w:szCs w:val="18"/>
                <w:highlight w:val="yellow"/>
                <w:lang w:eastAsia="en-GB"/>
              </w:rPr>
            </w:pPr>
            <w:r w:rsidRPr="00530583">
              <w:rPr>
                <w:rFonts w:ascii="Arial" w:hAnsi="Arial" w:cs="Arial"/>
                <w:sz w:val="18"/>
                <w:szCs w:val="18"/>
                <w:lang w:eastAsia="en-GB"/>
              </w:rPr>
              <w:t>Type of Personal Data</w:t>
            </w:r>
          </w:p>
        </w:tc>
        <w:tc>
          <w:tcPr>
            <w:tcW w:w="7104" w:type="dxa"/>
          </w:tcPr>
          <w:p w:rsidRPr="00530583" w:rsidR="002F6C4F" w:rsidP="00E47818" w:rsidRDefault="002F6C4F" w14:paraId="37C9C68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530583">
              <w:rPr>
                <w:rFonts w:ascii="Arial" w:hAnsi="Arial" w:cs="Arial"/>
                <w:sz w:val="18"/>
                <w:szCs w:val="18"/>
                <w:lang w:eastAsia="en-GB"/>
              </w:rPr>
              <w:t>The categories of Personal Data include but are not limited to:</w:t>
            </w:r>
          </w:p>
          <w:p w:rsidRPr="00530583" w:rsidR="002F6C4F" w:rsidP="002F6C4F" w:rsidRDefault="002F6C4F" w14:paraId="0D909AED" w14:textId="77777777">
            <w:pPr>
              <w:numPr>
                <w:ilvl w:val="0"/>
                <w:numId w:val="21"/>
              </w:numPr>
              <w:suppressAutoHyphens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sz w:val="18"/>
                <w:szCs w:val="18"/>
                <w:lang w:eastAsia="en-GB"/>
              </w:rPr>
            </w:pPr>
            <w:r w:rsidRPr="00530583">
              <w:rPr>
                <w:rFonts w:ascii="Arial" w:hAnsi="Arial" w:cs="Arial" w:eastAsiaTheme="minorHAnsi"/>
                <w:sz w:val="18"/>
                <w:szCs w:val="18"/>
                <w:lang w:eastAsia="en-GB"/>
              </w:rPr>
              <w:t>Name</w:t>
            </w:r>
          </w:p>
          <w:p w:rsidRPr="00530583" w:rsidR="002F6C4F" w:rsidP="002F6C4F" w:rsidRDefault="002F6C4F" w14:paraId="4B39FEE2" w14:textId="77777777">
            <w:pPr>
              <w:numPr>
                <w:ilvl w:val="0"/>
                <w:numId w:val="21"/>
              </w:numPr>
              <w:suppressAutoHyphens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sz w:val="18"/>
                <w:szCs w:val="18"/>
                <w:lang w:eastAsia="en-GB"/>
              </w:rPr>
            </w:pPr>
            <w:r w:rsidRPr="00530583">
              <w:rPr>
                <w:rFonts w:ascii="Arial" w:hAnsi="Arial" w:cs="Arial" w:eastAsiaTheme="minorHAnsi"/>
                <w:sz w:val="18"/>
                <w:szCs w:val="18"/>
                <w:lang w:eastAsia="en-GB"/>
              </w:rPr>
              <w:t>Date of Birth</w:t>
            </w:r>
          </w:p>
          <w:p w:rsidRPr="00530583" w:rsidR="002F6C4F" w:rsidP="002F6C4F" w:rsidRDefault="002F6C4F" w14:paraId="29009957" w14:textId="77777777">
            <w:pPr>
              <w:numPr>
                <w:ilvl w:val="0"/>
                <w:numId w:val="21"/>
              </w:numPr>
              <w:suppressAutoHyphens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sz w:val="18"/>
                <w:szCs w:val="18"/>
                <w:lang w:eastAsia="en-GB"/>
              </w:rPr>
            </w:pPr>
            <w:r w:rsidRPr="00530583">
              <w:rPr>
                <w:rFonts w:ascii="Arial" w:hAnsi="Arial" w:cs="Arial" w:eastAsiaTheme="minorHAnsi"/>
                <w:sz w:val="18"/>
                <w:szCs w:val="18"/>
                <w:lang w:eastAsia="en-GB"/>
              </w:rPr>
              <w:t>Home and/or Business Address(es)</w:t>
            </w:r>
          </w:p>
          <w:p w:rsidRPr="00530583" w:rsidR="002F6C4F" w:rsidP="002F6C4F" w:rsidRDefault="002F6C4F" w14:paraId="1A25B206" w14:textId="77777777">
            <w:pPr>
              <w:numPr>
                <w:ilvl w:val="0"/>
                <w:numId w:val="21"/>
              </w:numPr>
              <w:suppressAutoHyphens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sz w:val="18"/>
                <w:szCs w:val="18"/>
                <w:lang w:eastAsia="en-GB"/>
              </w:rPr>
            </w:pPr>
            <w:r w:rsidRPr="00530583">
              <w:rPr>
                <w:rFonts w:ascii="Arial" w:hAnsi="Arial" w:cs="Arial" w:eastAsiaTheme="minorHAnsi"/>
                <w:sz w:val="18"/>
                <w:szCs w:val="18"/>
                <w:lang w:eastAsia="en-GB"/>
              </w:rPr>
              <w:t>Email addresses</w:t>
            </w:r>
          </w:p>
          <w:p w:rsidRPr="00530583" w:rsidR="002F6C4F" w:rsidP="002F6C4F" w:rsidRDefault="002F6C4F" w14:paraId="367F0B54" w14:textId="77777777">
            <w:pPr>
              <w:numPr>
                <w:ilvl w:val="0"/>
                <w:numId w:val="21"/>
              </w:numPr>
              <w:suppressAutoHyphens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sz w:val="18"/>
                <w:szCs w:val="18"/>
                <w:lang w:eastAsia="en-GB"/>
              </w:rPr>
            </w:pPr>
            <w:r w:rsidRPr="00530583">
              <w:rPr>
                <w:rFonts w:ascii="Arial" w:hAnsi="Arial" w:cs="Arial" w:eastAsiaTheme="minorHAnsi"/>
                <w:sz w:val="18"/>
                <w:szCs w:val="18"/>
                <w:lang w:eastAsia="en-GB"/>
              </w:rPr>
              <w:t>Telephone Numbers</w:t>
            </w:r>
          </w:p>
          <w:p w:rsidRPr="00530583" w:rsidR="002F6C4F" w:rsidP="002F6C4F" w:rsidRDefault="002F6C4F" w14:paraId="0509412C" w14:textId="77777777">
            <w:pPr>
              <w:numPr>
                <w:ilvl w:val="0"/>
                <w:numId w:val="21"/>
              </w:numPr>
              <w:suppressAutoHyphens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sz w:val="18"/>
                <w:szCs w:val="18"/>
                <w:lang w:eastAsia="en-GB"/>
              </w:rPr>
            </w:pPr>
            <w:r w:rsidRPr="00530583">
              <w:rPr>
                <w:rFonts w:ascii="Arial" w:hAnsi="Arial" w:cs="Arial" w:eastAsiaTheme="minorHAnsi"/>
                <w:sz w:val="18"/>
                <w:szCs w:val="18"/>
                <w:lang w:eastAsia="en-GB"/>
              </w:rPr>
              <w:t>Financial Information</w:t>
            </w:r>
          </w:p>
          <w:p w:rsidRPr="00530583" w:rsidR="002F6C4F" w:rsidP="002F6C4F" w:rsidRDefault="002F6C4F" w14:paraId="731CF433" w14:textId="77777777">
            <w:pPr>
              <w:numPr>
                <w:ilvl w:val="0"/>
                <w:numId w:val="21"/>
              </w:numPr>
              <w:suppressAutoHyphens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sz w:val="18"/>
                <w:szCs w:val="18"/>
                <w:lang w:eastAsia="en-GB"/>
              </w:rPr>
            </w:pPr>
            <w:r w:rsidRPr="00530583">
              <w:rPr>
                <w:rFonts w:ascii="Arial" w:hAnsi="Arial" w:cs="Arial" w:eastAsiaTheme="minorHAnsi"/>
                <w:sz w:val="18"/>
                <w:szCs w:val="18"/>
                <w:lang w:eastAsia="en-GB"/>
              </w:rPr>
              <w:t>Invoices relating to the unpaid debt</w:t>
            </w:r>
          </w:p>
          <w:p w:rsidRPr="00530583" w:rsidR="002F6C4F" w:rsidP="002F6C4F" w:rsidRDefault="002F6C4F" w14:paraId="4E72911B" w14:textId="77777777">
            <w:pPr>
              <w:numPr>
                <w:ilvl w:val="0"/>
                <w:numId w:val="21"/>
              </w:numPr>
              <w:suppressAutoHyphens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sz w:val="18"/>
                <w:szCs w:val="18"/>
                <w:lang w:eastAsia="en-GB"/>
              </w:rPr>
            </w:pPr>
            <w:r w:rsidRPr="00530583">
              <w:rPr>
                <w:rFonts w:ascii="Arial" w:hAnsi="Arial" w:cs="Arial" w:eastAsiaTheme="minorHAnsi"/>
                <w:sz w:val="18"/>
                <w:szCs w:val="18"/>
                <w:lang w:eastAsia="en-GB"/>
              </w:rPr>
              <w:t>Correspondence and records relating to the unpaid debt</w:t>
            </w:r>
          </w:p>
          <w:p w:rsidRPr="00530583" w:rsidR="002F6C4F" w:rsidP="002F6C4F" w:rsidRDefault="002F6C4F" w14:paraId="561285A5" w14:textId="77777777">
            <w:pPr>
              <w:numPr>
                <w:ilvl w:val="0"/>
                <w:numId w:val="21"/>
              </w:numPr>
              <w:suppressAutoHyphens w:val="0"/>
              <w:spacing w:before="120" w:after="12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eastAsiaTheme="minorHAnsi"/>
                <w:sz w:val="18"/>
                <w:szCs w:val="18"/>
                <w:lang w:eastAsia="en-GB"/>
              </w:rPr>
            </w:pPr>
            <w:r w:rsidRPr="00530583">
              <w:rPr>
                <w:rFonts w:ascii="Arial" w:hAnsi="Arial" w:cs="Arial" w:eastAsiaTheme="minorHAnsi"/>
                <w:sz w:val="18"/>
                <w:szCs w:val="18"/>
                <w:lang w:eastAsia="en-GB"/>
              </w:rPr>
              <w:t>Special Category Data (i.e. health/medical information)</w:t>
            </w:r>
          </w:p>
        </w:tc>
      </w:tr>
      <w:tr w:rsidRPr="00530583" w:rsidR="002F6C4F" w:rsidTr="00E47818" w14:paraId="0EC4FBEC" w14:textId="77777777">
        <w:trPr>
          <w:trHeight w:val="20"/>
          <w:jc w:val="center"/>
        </w:trPr>
        <w:tc>
          <w:tcPr>
            <w:cnfStyle w:val="001000000000" w:firstRow="0" w:lastRow="0" w:firstColumn="1" w:lastColumn="0" w:oddVBand="0" w:evenVBand="0" w:oddHBand="0" w:evenHBand="0" w:firstRowFirstColumn="0" w:firstRowLastColumn="0" w:lastRowFirstColumn="0" w:lastRowLastColumn="0"/>
            <w:tcW w:w="2943" w:type="dxa"/>
          </w:tcPr>
          <w:p w:rsidRPr="00530583" w:rsidR="002F6C4F" w:rsidP="00E47818" w:rsidRDefault="002F6C4F" w14:paraId="18F10DD0" w14:textId="77777777">
            <w:pPr>
              <w:spacing w:before="120" w:after="120"/>
              <w:rPr>
                <w:rFonts w:ascii="Arial" w:hAnsi="Arial" w:cs="Arial"/>
                <w:sz w:val="18"/>
                <w:szCs w:val="18"/>
                <w:highlight w:val="yellow"/>
                <w:lang w:eastAsia="en-GB"/>
              </w:rPr>
            </w:pPr>
            <w:r w:rsidRPr="00530583">
              <w:rPr>
                <w:rFonts w:ascii="Arial" w:hAnsi="Arial" w:cs="Arial"/>
                <w:sz w:val="18"/>
                <w:szCs w:val="18"/>
                <w:lang w:eastAsia="en-GB"/>
              </w:rPr>
              <w:t>Categories of Data Subject</w:t>
            </w:r>
          </w:p>
        </w:tc>
        <w:tc>
          <w:tcPr>
            <w:tcW w:w="7104" w:type="dxa"/>
          </w:tcPr>
          <w:p w:rsidRPr="00530583" w:rsidR="002F6C4F" w:rsidP="00E47818" w:rsidRDefault="002F6C4F" w14:paraId="0D6706D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lang w:eastAsia="en-GB"/>
              </w:rPr>
            </w:pPr>
            <w:r w:rsidRPr="00530583">
              <w:rPr>
                <w:rFonts w:ascii="Arial" w:hAnsi="Arial" w:cs="Arial"/>
                <w:sz w:val="18"/>
                <w:szCs w:val="18"/>
                <w:lang w:eastAsia="en-GB"/>
              </w:rPr>
              <w:t>Client’s customers, client’s employees and a variety of Businesses and their representatives</w:t>
            </w:r>
          </w:p>
        </w:tc>
      </w:tr>
      <w:tr w:rsidRPr="00530583" w:rsidR="002F6C4F" w:rsidTr="00E47818" w14:paraId="5C78E259" w14:textId="77777777">
        <w:trPr>
          <w:trHeight w:val="1232"/>
          <w:jc w:val="center"/>
        </w:trPr>
        <w:tc>
          <w:tcPr>
            <w:cnfStyle w:val="001000000000" w:firstRow="0" w:lastRow="0" w:firstColumn="1" w:lastColumn="0" w:oddVBand="0" w:evenVBand="0" w:oddHBand="0" w:evenHBand="0" w:firstRowFirstColumn="0" w:firstRowLastColumn="0" w:lastRowFirstColumn="0" w:lastRowLastColumn="0"/>
            <w:tcW w:w="2943" w:type="dxa"/>
          </w:tcPr>
          <w:p w:rsidRPr="00530583" w:rsidR="002F6C4F" w:rsidP="00E47818" w:rsidRDefault="002F6C4F" w14:paraId="06216921" w14:textId="77777777">
            <w:pPr>
              <w:spacing w:before="120" w:after="120"/>
              <w:rPr>
                <w:rFonts w:ascii="Arial" w:hAnsi="Arial" w:cs="Arial"/>
                <w:sz w:val="18"/>
                <w:szCs w:val="18"/>
                <w:highlight w:val="yellow"/>
                <w:lang w:eastAsia="en-GB"/>
              </w:rPr>
            </w:pPr>
            <w:r w:rsidRPr="00530583">
              <w:rPr>
                <w:rFonts w:ascii="Arial" w:hAnsi="Arial" w:cs="Arial"/>
                <w:sz w:val="18"/>
                <w:szCs w:val="18"/>
                <w:lang w:eastAsia="en-GB"/>
              </w:rPr>
              <w:t>Plan for return and destruction of the data once the processing is complete UNLESS requirement under union or member state law to preserve that type of data</w:t>
            </w:r>
          </w:p>
        </w:tc>
        <w:tc>
          <w:tcPr>
            <w:tcW w:w="7104" w:type="dxa"/>
          </w:tcPr>
          <w:p w:rsidRPr="00530583" w:rsidR="002F6C4F" w:rsidP="00E47818" w:rsidRDefault="002F6C4F" w14:paraId="2C469A5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530583">
              <w:rPr>
                <w:rFonts w:ascii="Arial" w:hAnsi="Arial" w:cs="Arial"/>
                <w:sz w:val="18"/>
                <w:szCs w:val="18"/>
                <w:lang w:eastAsia="en-GB"/>
              </w:rPr>
              <w:t xml:space="preserve">Closed files data is archived for 6 years from closure date to fulfil our legal obligations and legitimate interests. </w:t>
            </w:r>
          </w:p>
          <w:p w:rsidRPr="00530583" w:rsidR="002F6C4F" w:rsidP="00E47818" w:rsidRDefault="002F6C4F" w14:paraId="3E33250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lang w:eastAsia="en-GB"/>
              </w:rPr>
            </w:pPr>
            <w:r w:rsidRPr="00530583">
              <w:rPr>
                <w:rFonts w:ascii="Arial" w:hAnsi="Arial" w:cs="Arial"/>
                <w:sz w:val="18"/>
                <w:szCs w:val="18"/>
                <w:lang w:eastAsia="en-GB"/>
              </w:rPr>
              <w:t>After 6 years, closed cases are deleted and certificate of destruction can be issued on request.</w:t>
            </w:r>
          </w:p>
        </w:tc>
      </w:tr>
    </w:tbl>
    <w:p w:rsidR="002F6C4F" w:rsidP="002F6C4F" w:rsidRDefault="002F6C4F" w14:paraId="17AD93B2" w14:textId="77777777">
      <w:pPr>
        <w:spacing w:before="240" w:after="240"/>
        <w:ind w:left="426"/>
        <w:rPr>
          <w:rFonts w:ascii="Arial" w:hAnsi="Arial"/>
          <w:b/>
          <w:sz w:val="22"/>
          <w:szCs w:val="22"/>
          <w:highlight w:val="yellow"/>
        </w:rPr>
      </w:pPr>
    </w:p>
    <w:p w:rsidRPr="003F03C6" w:rsidR="002F6C4F" w:rsidP="002F6C4F" w:rsidRDefault="002F6C4F" w14:paraId="4EA01852" w14:textId="77777777">
      <w:pPr>
        <w:ind w:left="426"/>
        <w:rPr>
          <w:rFonts w:ascii="Arial" w:hAnsi="Arial"/>
          <w:b/>
          <w:sz w:val="22"/>
          <w:szCs w:val="22"/>
          <w:highlight w:val="yellow"/>
        </w:rPr>
      </w:pPr>
      <w:r>
        <w:rPr>
          <w:rFonts w:ascii="Arial" w:hAnsi="Arial"/>
          <w:b/>
          <w:sz w:val="22"/>
          <w:szCs w:val="22"/>
          <w:highlight w:val="yellow"/>
        </w:rPr>
        <w:br/>
      </w:r>
      <w:r>
        <w:rPr>
          <w:rFonts w:ascii="Arial" w:hAnsi="Arial"/>
          <w:b/>
          <w:sz w:val="22"/>
          <w:szCs w:val="22"/>
          <w:highlight w:val="yellow"/>
        </w:rPr>
        <w:br/>
      </w:r>
      <w:r w:rsidRPr="001136BD">
        <w:rPr>
          <w:rFonts w:ascii="Arial" w:hAnsi="Arial" w:cs="Arial"/>
          <w:b/>
          <w:sz w:val="18"/>
          <w:szCs w:val="18"/>
          <w:u w:val="single"/>
          <w:lang w:val="en-US"/>
        </w:rPr>
        <w:t>SCHEDULE 2</w:t>
      </w:r>
    </w:p>
    <w:p w:rsidR="002F6C4F" w:rsidP="002F6C4F" w:rsidRDefault="002F6C4F" w14:paraId="23DBB5B4" w14:textId="77777777">
      <w:pPr>
        <w:spacing w:line="360" w:lineRule="auto"/>
        <w:ind w:left="426"/>
        <w:rPr>
          <w:rFonts w:ascii="Arial" w:hAnsi="Arial" w:cs="Arial"/>
          <w:b/>
          <w:sz w:val="16"/>
          <w:szCs w:val="16"/>
          <w:lang w:val="en-US"/>
        </w:rPr>
      </w:pPr>
      <w:r>
        <w:rPr>
          <w:rFonts w:ascii="Arial" w:hAnsi="Arial" w:cs="Arial"/>
          <w:b/>
          <w:sz w:val="16"/>
          <w:szCs w:val="16"/>
          <w:lang w:val="en-US"/>
        </w:rPr>
        <w:br/>
      </w:r>
      <w:r w:rsidRPr="001136BD">
        <w:rPr>
          <w:rFonts w:ascii="Arial" w:hAnsi="Arial" w:cs="Arial"/>
          <w:b/>
          <w:sz w:val="16"/>
          <w:szCs w:val="16"/>
          <w:lang w:val="en-US"/>
        </w:rPr>
        <w:t xml:space="preserve">Approved Suppliers </w:t>
      </w:r>
    </w:p>
    <w:p w:rsidRPr="001136BD" w:rsidR="002F6C4F" w:rsidP="002F6C4F" w:rsidRDefault="002F6C4F" w14:paraId="0DE4B5B7" w14:textId="77777777">
      <w:pPr>
        <w:spacing w:line="360" w:lineRule="auto"/>
        <w:ind w:left="397"/>
        <w:rPr>
          <w:rFonts w:ascii="Arial" w:hAnsi="Arial" w:cs="Arial"/>
          <w:b/>
          <w:sz w:val="16"/>
          <w:szCs w:val="16"/>
          <w:lang w:val="en-US"/>
        </w:rPr>
      </w:pPr>
    </w:p>
    <w:p w:rsidR="002F6C4F" w:rsidP="002F6C4F" w:rsidRDefault="002F6C4F" w14:paraId="59702159" w14:textId="77777777">
      <w:pPr>
        <w:spacing w:line="360" w:lineRule="auto"/>
        <w:ind w:left="397"/>
        <w:rPr>
          <w:rFonts w:ascii="Arial" w:hAnsi="Arial" w:cs="Arial"/>
          <w:sz w:val="16"/>
          <w:szCs w:val="16"/>
          <w:lang w:val="en-US"/>
        </w:rPr>
      </w:pPr>
      <w:r w:rsidRPr="001136BD">
        <w:rPr>
          <w:rFonts w:ascii="Arial" w:hAnsi="Arial" w:cs="Arial"/>
          <w:sz w:val="16"/>
          <w:szCs w:val="16"/>
          <w:lang w:val="en-US"/>
        </w:rPr>
        <w:t>The following suppliers have been approved by the Client for use by the Supplier in the provision of the Services in accordance with clause 11.1</w:t>
      </w:r>
      <w:r>
        <w:rPr>
          <w:rFonts w:ascii="Arial" w:hAnsi="Arial" w:cs="Arial"/>
          <w:sz w:val="16"/>
          <w:szCs w:val="16"/>
          <w:lang w:val="en-US"/>
        </w:rPr>
        <w:t>1</w:t>
      </w:r>
    </w:p>
    <w:p w:rsidRPr="001136BD" w:rsidR="002F6C4F" w:rsidP="002F6C4F" w:rsidRDefault="002F6C4F" w14:paraId="66204FF1" w14:textId="77777777">
      <w:pPr>
        <w:spacing w:line="360" w:lineRule="auto"/>
        <w:ind w:left="397"/>
        <w:rPr>
          <w:rFonts w:ascii="Arial" w:hAnsi="Arial" w:cs="Arial"/>
          <w:sz w:val="16"/>
          <w:szCs w:val="16"/>
          <w:lang w:val="en-US"/>
        </w:rPr>
      </w:pPr>
    </w:p>
    <w:p w:rsidRPr="00AF54A7" w:rsidR="002F6C4F" w:rsidP="00643434" w:rsidRDefault="002F6C4F" w14:paraId="2DBF0D7D" w14:textId="10A73AD7">
      <w:pPr>
        <w:ind w:left="2880" w:hanging="2483"/>
        <w:rPr>
          <w:rFonts w:ascii="Arial" w:hAnsi="Arial" w:cs="Arial"/>
          <w:i/>
          <w:color w:val="444444"/>
          <w:sz w:val="16"/>
          <w:szCs w:val="16"/>
          <w:shd w:val="clear" w:color="auto" w:fill="FFFFFF"/>
        </w:rPr>
      </w:pPr>
      <w:r w:rsidRPr="00AF54A7">
        <w:rPr>
          <w:rFonts w:ascii="Arial" w:hAnsi="Arial" w:cs="Arial"/>
          <w:i/>
          <w:color w:val="444444"/>
          <w:sz w:val="16"/>
          <w:szCs w:val="16"/>
          <w:shd w:val="clear" w:color="auto" w:fill="FFFFFF"/>
        </w:rPr>
        <w:t xml:space="preserve">IT provider: </w:t>
      </w:r>
      <w:r w:rsidR="005060E3">
        <w:rPr>
          <w:rFonts w:ascii="Arial" w:hAnsi="Arial" w:cs="Arial"/>
          <w:i/>
          <w:color w:val="444444"/>
          <w:sz w:val="16"/>
          <w:szCs w:val="16"/>
          <w:shd w:val="clear" w:color="auto" w:fill="FFFFFF"/>
        </w:rPr>
        <w:tab/>
      </w:r>
      <w:r w:rsidRPr="00643434" w:rsidR="00643434">
        <w:rPr>
          <w:rFonts w:ascii="Arial" w:hAnsi="Arial" w:cs="Arial"/>
          <w:i/>
          <w:color w:val="444444"/>
          <w:sz w:val="16"/>
          <w:szCs w:val="16"/>
          <w:shd w:val="clear" w:color="auto" w:fill="FFFFFF"/>
        </w:rPr>
        <w:t>Microsoft (Microsoft Campus, Thames Valley Park, Reading, RG6 1WG – 0344 8002400)</w:t>
      </w:r>
      <w:r w:rsidR="00643434">
        <w:rPr>
          <w:rFonts w:ascii="Arial" w:hAnsi="Arial" w:cs="Arial"/>
          <w:i/>
          <w:color w:val="444444"/>
          <w:sz w:val="16"/>
          <w:szCs w:val="16"/>
          <w:shd w:val="clear" w:color="auto" w:fill="FFFFFF"/>
        </w:rPr>
        <w:br/>
      </w:r>
    </w:p>
    <w:p w:rsidRPr="007A7082" w:rsidR="007A7082" w:rsidP="007A7082" w:rsidRDefault="002F6C4F" w14:paraId="77E2EF7C" w14:textId="77777777">
      <w:pPr>
        <w:ind w:firstLine="397"/>
        <w:rPr>
          <w:rFonts w:ascii="Arial" w:hAnsi="Arial" w:cs="Arial"/>
          <w:i/>
          <w:color w:val="444444"/>
          <w:sz w:val="16"/>
          <w:szCs w:val="16"/>
          <w:shd w:val="clear" w:color="auto" w:fill="FFFFFF"/>
        </w:rPr>
      </w:pPr>
      <w:r w:rsidRPr="00AF54A7">
        <w:rPr>
          <w:rFonts w:ascii="Arial" w:hAnsi="Arial" w:cs="Arial"/>
          <w:i/>
          <w:color w:val="444444"/>
          <w:sz w:val="16"/>
          <w:szCs w:val="16"/>
          <w:shd w:val="clear" w:color="auto" w:fill="FFFFFF"/>
        </w:rPr>
        <w:t xml:space="preserve">Mailing services: </w:t>
      </w:r>
      <w:r w:rsidR="005060E3">
        <w:rPr>
          <w:rFonts w:ascii="Arial" w:hAnsi="Arial" w:cs="Arial"/>
          <w:i/>
          <w:color w:val="444444"/>
          <w:sz w:val="16"/>
          <w:szCs w:val="16"/>
          <w:shd w:val="clear" w:color="auto" w:fill="FFFFFF"/>
        </w:rPr>
        <w:tab/>
      </w:r>
      <w:r w:rsidR="005060E3">
        <w:rPr>
          <w:rFonts w:ascii="Arial" w:hAnsi="Arial" w:cs="Arial"/>
          <w:i/>
          <w:color w:val="444444"/>
          <w:sz w:val="16"/>
          <w:szCs w:val="16"/>
          <w:shd w:val="clear" w:color="auto" w:fill="FFFFFF"/>
        </w:rPr>
        <w:tab/>
      </w:r>
      <w:r w:rsidRPr="007A7082" w:rsidR="007A7082">
        <w:rPr>
          <w:rFonts w:ascii="Arial" w:hAnsi="Arial" w:cs="Arial"/>
          <w:i/>
          <w:color w:val="444444"/>
          <w:sz w:val="16"/>
          <w:szCs w:val="16"/>
          <w:shd w:val="clear" w:color="auto" w:fill="FFFFFF"/>
        </w:rPr>
        <w:t>UK Mail Ltd (120 Buckingham Avenue, Slough, Berkshire SL1 4LZ – 024 7693 7770)</w:t>
      </w:r>
    </w:p>
    <w:p w:rsidRPr="00AF54A7" w:rsidR="002F6C4F" w:rsidP="002F6C4F" w:rsidRDefault="002F6C4F" w14:paraId="6B62F1B3" w14:textId="77777777">
      <w:pPr>
        <w:rPr>
          <w:rFonts w:ascii="Arial" w:hAnsi="Arial" w:cs="Arial"/>
          <w:i/>
          <w:color w:val="444444"/>
          <w:sz w:val="16"/>
          <w:szCs w:val="16"/>
          <w:shd w:val="clear" w:color="auto" w:fill="FFFFFF"/>
        </w:rPr>
      </w:pPr>
    </w:p>
    <w:p w:rsidR="00831BD8" w:rsidP="00831BD8" w:rsidRDefault="00831BD8" w14:paraId="7EBC9304" w14:textId="77777777">
      <w:pPr>
        <w:ind w:firstLine="397"/>
        <w:rPr>
          <w:rFonts w:ascii="Arial" w:hAnsi="Arial" w:cs="Arial"/>
          <w:i/>
          <w:color w:val="444444"/>
          <w:sz w:val="16"/>
          <w:szCs w:val="16"/>
          <w:shd w:val="clear" w:color="auto" w:fill="FFFFFF"/>
          <w:lang w:eastAsia="en-US"/>
        </w:rPr>
      </w:pPr>
      <w:r>
        <w:rPr>
          <w:rFonts w:ascii="Arial" w:hAnsi="Arial" w:cs="Arial"/>
          <w:i/>
          <w:color w:val="444444"/>
          <w:sz w:val="16"/>
          <w:szCs w:val="16"/>
          <w:shd w:val="clear" w:color="auto" w:fill="FFFFFF"/>
        </w:rPr>
        <w:t xml:space="preserve">Telephone Solution Provider: </w:t>
      </w:r>
      <w:r w:rsidR="005060E3">
        <w:rPr>
          <w:rFonts w:ascii="Arial" w:hAnsi="Arial" w:cs="Arial"/>
          <w:i/>
          <w:color w:val="444444"/>
          <w:sz w:val="16"/>
          <w:szCs w:val="16"/>
          <w:shd w:val="clear" w:color="auto" w:fill="FFFFFF"/>
        </w:rPr>
        <w:tab/>
      </w:r>
      <w:r>
        <w:rPr>
          <w:rFonts w:ascii="Arial" w:hAnsi="Arial" w:cs="Arial"/>
          <w:i/>
          <w:color w:val="444444"/>
          <w:sz w:val="16"/>
          <w:szCs w:val="16"/>
          <w:shd w:val="clear" w:color="auto" w:fill="FFFFFF"/>
        </w:rPr>
        <w:t>Trivoni Software Ltd (69 Windsor Road, Prestwich, Manchester, M25 0BD – 0330 159 6570)</w:t>
      </w:r>
    </w:p>
    <w:p w:rsidRPr="00E723D0" w:rsidR="00E723D0" w:rsidP="00831BD8" w:rsidRDefault="00E723D0" w14:paraId="02F2C34E" w14:textId="77777777">
      <w:pPr>
        <w:ind w:firstLine="397"/>
        <w:rPr>
          <w:rFonts w:ascii="Arial" w:hAnsi="Arial" w:cs="Arial"/>
          <w:sz w:val="14"/>
          <w:szCs w:val="14"/>
        </w:rPr>
      </w:pPr>
    </w:p>
    <w:sectPr w:rsidRPr="00E723D0" w:rsidR="00E723D0" w:rsidSect="00D33C9C">
      <w:pgSz w:w="11907" w:h="16840" w:orient="portrait" w:code="9"/>
      <w:pgMar w:top="284" w:right="595" w:bottom="284" w:left="397" w:header="22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3D0" w:rsidP="00E723D0" w:rsidRDefault="00E723D0" w14:paraId="680A4E5D" w14:textId="77777777">
      <w:r>
        <w:separator/>
      </w:r>
    </w:p>
  </w:endnote>
  <w:endnote w:type="continuationSeparator" w:id="0">
    <w:p w:rsidR="00E723D0" w:rsidP="00E723D0" w:rsidRDefault="00E723D0" w14:paraId="192198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5F88" w:rsidR="00E723D0" w:rsidP="00E723D0" w:rsidRDefault="002F6C4F" w14:paraId="1C876678" w14:textId="77777777">
    <w:pPr>
      <w:autoSpaceDE w:val="0"/>
      <w:autoSpaceDN w:val="0"/>
      <w:adjustRightInd w:val="0"/>
      <w:jc w:val="right"/>
      <w:rPr>
        <w:sz w:val="2"/>
        <w:szCs w:val="2"/>
        <w:lang w:val="en-US"/>
      </w:rPr>
    </w:pPr>
    <w:r>
      <w:rPr>
        <w:rFonts w:ascii="Arial" w:hAnsi="Arial" w:cs="Arial"/>
        <w:sz w:val="14"/>
        <w:szCs w:val="14"/>
        <w:lang w:val="en-US"/>
      </w:rPr>
      <w:t>10</w:t>
    </w:r>
    <w:r w:rsidR="00E723D0">
      <w:rPr>
        <w:rFonts w:ascii="Arial" w:hAnsi="Arial" w:cs="Arial"/>
        <w:sz w:val="14"/>
        <w:szCs w:val="14"/>
        <w:lang w:val="en-US"/>
      </w:rPr>
      <w:t>/18</w:t>
    </w:r>
  </w:p>
  <w:p w:rsidR="00E723D0" w:rsidRDefault="00E723D0" w14:paraId="769D0D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3D0" w:rsidP="00E723D0" w:rsidRDefault="00E723D0" w14:paraId="296FEF7D" w14:textId="77777777">
      <w:r>
        <w:separator/>
      </w:r>
    </w:p>
  </w:footnote>
  <w:footnote w:type="continuationSeparator" w:id="0">
    <w:p w:rsidR="00E723D0" w:rsidP="00E723D0" w:rsidRDefault="00E723D0" w14:paraId="7194DBD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23D0" w:rsidP="00E723D0" w:rsidRDefault="00E723D0" w14:paraId="689C3EB6" w14:textId="77777777">
    <w:pPr>
      <w:autoSpaceDE w:val="0"/>
      <w:autoSpaceDN w:val="0"/>
      <w:adjustRightInd w:val="0"/>
      <w:jc w:val="center"/>
      <w:rPr>
        <w:rFonts w:ascii="Arial" w:hAnsi="Arial" w:cs="Arial"/>
        <w:b/>
        <w:bCs/>
        <w:sz w:val="28"/>
        <w:szCs w:val="28"/>
        <w:lang w:val="en-US"/>
      </w:rPr>
    </w:pPr>
    <w:r>
      <w:rPr>
        <w:rFonts w:ascii="Arial" w:hAnsi="Arial" w:cs="Arial"/>
        <w:b/>
        <w:bCs/>
        <w:sz w:val="28"/>
        <w:szCs w:val="28"/>
        <w:lang w:val="en-US"/>
      </w:rPr>
      <w:t xml:space="preserve">STA </w:t>
    </w:r>
    <w:r w:rsidRPr="005060E3">
      <w:rPr>
        <w:rFonts w:ascii="Arial" w:hAnsi="Arial" w:cs="Arial"/>
        <w:b/>
        <w:bCs/>
        <w:sz w:val="28"/>
        <w:szCs w:val="28"/>
        <w:lang w:val="en-US"/>
      </w:rPr>
      <w:t xml:space="preserve">INTERNATIONAL </w:t>
    </w:r>
    <w:r w:rsidRPr="005060E3" w:rsidR="005060E3">
      <w:rPr>
        <w:rFonts w:ascii="Arial" w:hAnsi="Arial" w:cs="Arial"/>
        <w:sz w:val="26"/>
        <w:szCs w:val="26"/>
      </w:rPr>
      <w:t>in association with Nexus Trade Credit First Place debt collection</w:t>
    </w:r>
  </w:p>
  <w:p w:rsidR="00E723D0" w:rsidP="005060E3" w:rsidRDefault="00E723D0" w14:paraId="24217753" w14:textId="77777777">
    <w:pPr>
      <w:pBdr>
        <w:bottom w:val="single" w:color="auto" w:sz="4" w:space="1"/>
      </w:pBdr>
      <w:autoSpaceDE w:val="0"/>
      <w:autoSpaceDN w:val="0"/>
      <w:adjustRightInd w:val="0"/>
      <w:jc w:val="center"/>
      <w:rPr>
        <w:rFonts w:ascii="Arial" w:hAnsi="Arial" w:cs="Arial"/>
        <w:lang w:val="en-US"/>
      </w:rPr>
    </w:pPr>
    <w:r>
      <w:rPr>
        <w:rFonts w:ascii="Arial" w:hAnsi="Arial" w:cs="Arial"/>
        <w:lang w:val="en-US"/>
      </w:rPr>
      <w:t>TERMS AND CONDITIONS</w:t>
    </w:r>
  </w:p>
  <w:p w:rsidRPr="005060E3" w:rsidR="005060E3" w:rsidP="005060E3" w:rsidRDefault="005060E3" w14:paraId="54CD245A" w14:textId="77777777">
    <w:pPr>
      <w:pBdr>
        <w:bottom w:val="single" w:color="auto" w:sz="4" w:space="1"/>
      </w:pBdr>
      <w:autoSpaceDE w:val="0"/>
      <w:autoSpaceDN w:val="0"/>
      <w:adjustRightInd w:val="0"/>
      <w:jc w:val="center"/>
      <w:rPr>
        <w:rFonts w:ascii="Arial" w:hAnsi="Arial" w:cs="Arial"/>
        <w:b/>
        <w:bCs/>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765"/>
        </w:tabs>
        <w:ind w:left="765" w:hanging="765"/>
      </w:pPr>
    </w:lvl>
    <w:lvl w:ilvl="5">
      <w:start w:val="1"/>
      <w:numFmt w:val="decimal"/>
      <w:lvlText w:val="%1.%2.%3.%4.%5.%6"/>
      <w:lvlJc w:val="left"/>
      <w:pPr>
        <w:tabs>
          <w:tab w:val="num" w:pos="765"/>
        </w:tabs>
        <w:ind w:left="765" w:hanging="765"/>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 w15:restartNumberingAfterBreak="0">
    <w:nsid w:val="00000002"/>
    <w:multiLevelType w:val="multilevel"/>
    <w:tmpl w:val="00000002"/>
    <w:name w:val="WW8Num3"/>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15:restartNumberingAfterBreak="0">
    <w:nsid w:val="00000003"/>
    <w:multiLevelType w:val="multilevel"/>
    <w:tmpl w:val="00000003"/>
    <w:name w:val="WW8Num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3" w15:restartNumberingAfterBreak="0">
    <w:nsid w:val="00000004"/>
    <w:multiLevelType w:val="multilevel"/>
    <w:tmpl w:val="00000004"/>
    <w:name w:val="WW8Num5"/>
    <w:lvl w:ilvl="0">
      <w:start w:val="8"/>
      <w:numFmt w:val="decimal"/>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765"/>
        </w:tabs>
        <w:ind w:left="765" w:hanging="765"/>
      </w:pPr>
    </w:lvl>
    <w:lvl w:ilvl="5">
      <w:start w:val="1"/>
      <w:numFmt w:val="decimal"/>
      <w:lvlText w:val="%1.%2.%3.%4.%5.%6"/>
      <w:lvlJc w:val="left"/>
      <w:pPr>
        <w:tabs>
          <w:tab w:val="num" w:pos="765"/>
        </w:tabs>
        <w:ind w:left="765" w:hanging="765"/>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4" w15:restartNumberingAfterBreak="0">
    <w:nsid w:val="00000005"/>
    <w:multiLevelType w:val="multilevel"/>
    <w:tmpl w:val="00000005"/>
    <w:name w:val="WW8Num6"/>
    <w:lvl w:ilvl="0">
      <w:start w:val="5"/>
      <w:numFmt w:val="decimal"/>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765"/>
        </w:tabs>
        <w:ind w:left="765" w:hanging="765"/>
      </w:pPr>
    </w:lvl>
    <w:lvl w:ilvl="5">
      <w:start w:val="1"/>
      <w:numFmt w:val="decimal"/>
      <w:lvlText w:val="%1.%2.%3.%4.%5.%6"/>
      <w:lvlJc w:val="left"/>
      <w:pPr>
        <w:tabs>
          <w:tab w:val="num" w:pos="765"/>
        </w:tabs>
        <w:ind w:left="765" w:hanging="765"/>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15:restartNumberingAfterBreak="0">
    <w:nsid w:val="00000006"/>
    <w:multiLevelType w:val="multilevel"/>
    <w:tmpl w:val="00000006"/>
    <w:name w:val="WW8Num8"/>
    <w:lvl w:ilvl="0">
      <w:start w:val="2"/>
      <w:numFmt w:val="decimal"/>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765"/>
        </w:tabs>
        <w:ind w:left="765" w:hanging="765"/>
      </w:pPr>
    </w:lvl>
    <w:lvl w:ilvl="5">
      <w:start w:val="1"/>
      <w:numFmt w:val="decimal"/>
      <w:lvlText w:val="%1.%2.%3.%4.%5.%6"/>
      <w:lvlJc w:val="left"/>
      <w:pPr>
        <w:tabs>
          <w:tab w:val="num" w:pos="765"/>
        </w:tabs>
        <w:ind w:left="765" w:hanging="765"/>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6" w15:restartNumberingAfterBreak="0">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15:restartNumberingAfterBreak="0">
    <w:nsid w:val="00000008"/>
    <w:multiLevelType w:val="multilevel"/>
    <w:tmpl w:val="00000008"/>
    <w:name w:val="WW8Num11"/>
    <w:lvl w:ilvl="0">
      <w:start w:val="6"/>
      <w:numFmt w:val="decimal"/>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765"/>
        </w:tabs>
        <w:ind w:left="765" w:hanging="765"/>
      </w:pPr>
    </w:lvl>
    <w:lvl w:ilvl="5">
      <w:start w:val="1"/>
      <w:numFmt w:val="decimal"/>
      <w:lvlText w:val="%1.%2.%3.%4.%5.%6"/>
      <w:lvlJc w:val="left"/>
      <w:pPr>
        <w:tabs>
          <w:tab w:val="num" w:pos="765"/>
        </w:tabs>
        <w:ind w:left="765" w:hanging="765"/>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8" w15:restartNumberingAfterBreak="0">
    <w:nsid w:val="00000009"/>
    <w:multiLevelType w:val="multilevel"/>
    <w:tmpl w:val="00000009"/>
    <w:name w:val="WW8Num12"/>
    <w:lvl w:ilvl="0">
      <w:start w:val="7"/>
      <w:numFmt w:val="decimal"/>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765"/>
        </w:tabs>
        <w:ind w:left="765" w:hanging="765"/>
      </w:pPr>
    </w:lvl>
    <w:lvl w:ilvl="5">
      <w:start w:val="1"/>
      <w:numFmt w:val="decimal"/>
      <w:lvlText w:val="%1.%2.%3.%4.%5.%6"/>
      <w:lvlJc w:val="left"/>
      <w:pPr>
        <w:tabs>
          <w:tab w:val="num" w:pos="765"/>
        </w:tabs>
        <w:ind w:left="765" w:hanging="765"/>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1F370E7"/>
    <w:multiLevelType w:val="multilevel"/>
    <w:tmpl w:val="27428704"/>
    <w:lvl w:ilvl="0">
      <w:start w:val="11"/>
      <w:numFmt w:val="decimal"/>
      <w:lvlText w:val="%1"/>
      <w:lvlJc w:val="left"/>
      <w:pPr>
        <w:ind w:left="360" w:hanging="360"/>
      </w:pPr>
      <w:rPr>
        <w:rFonts w:hint="default"/>
      </w:rPr>
    </w:lvl>
    <w:lvl w:ilvl="1">
      <w:start w:val="1"/>
      <w:numFmt w:val="decimal"/>
      <w:lvlText w:val="%1.%2"/>
      <w:lvlJc w:val="left"/>
      <w:pPr>
        <w:ind w:left="397" w:hanging="397"/>
      </w:pPr>
      <w:rPr>
        <w:rFonts w:hint="default" w:ascii="Arial" w:hAnsi="Arial" w:cs="Arial"/>
        <w:sz w:val="14"/>
        <w:szCs w:val="14"/>
      </w:rPr>
    </w:lvl>
    <w:lvl w:ilvl="2">
      <w:start w:val="1"/>
      <w:numFmt w:val="decimal"/>
      <w:lvlText w:val="%1.%2.%3"/>
      <w:lvlJc w:val="left"/>
      <w:pPr>
        <w:tabs>
          <w:tab w:val="num" w:pos="357"/>
        </w:tabs>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026A4CCC"/>
    <w:multiLevelType w:val="multilevel"/>
    <w:tmpl w:val="B95EC9C2"/>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765"/>
        </w:tabs>
        <w:ind w:left="765" w:hanging="76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15:restartNumberingAfterBreak="0">
    <w:nsid w:val="0B3E71A2"/>
    <w:multiLevelType w:val="hybridMultilevel"/>
    <w:tmpl w:val="221CDB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7420546"/>
    <w:multiLevelType w:val="multilevel"/>
    <w:tmpl w:val="7C86B1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2592098F"/>
    <w:multiLevelType w:val="multilevel"/>
    <w:tmpl w:val="7C86B10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15:restartNumberingAfterBreak="0">
    <w:nsid w:val="35B053D7"/>
    <w:multiLevelType w:val="multilevel"/>
    <w:tmpl w:val="B95EC9C2"/>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765"/>
        </w:tabs>
        <w:ind w:left="765" w:hanging="76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15:restartNumberingAfterBreak="0">
    <w:nsid w:val="3AEB7830"/>
    <w:multiLevelType w:val="multilevel"/>
    <w:tmpl w:val="B95EC9C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765"/>
        </w:tabs>
        <w:ind w:left="765" w:hanging="76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7" w15:restartNumberingAfterBreak="0">
    <w:nsid w:val="45521FB8"/>
    <w:multiLevelType w:val="multilevel"/>
    <w:tmpl w:val="B95EC9C2"/>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765"/>
        </w:tabs>
        <w:ind w:left="765" w:hanging="76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55FC67D1"/>
    <w:multiLevelType w:val="multilevel"/>
    <w:tmpl w:val="B95EC9C2"/>
    <w:lvl w:ilvl="0">
      <w:start w:val="6"/>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765"/>
        </w:tabs>
        <w:ind w:left="765" w:hanging="76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15:restartNumberingAfterBreak="0">
    <w:nsid w:val="5D4564A5"/>
    <w:multiLevelType w:val="hybridMultilevel"/>
    <w:tmpl w:val="C33685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8834785"/>
    <w:multiLevelType w:val="multilevel"/>
    <w:tmpl w:val="B95EC9C2"/>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765"/>
        </w:tabs>
        <w:ind w:left="765" w:hanging="765"/>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16cid:durableId="779420843">
    <w:abstractNumId w:val="0"/>
  </w:num>
  <w:num w:numId="2" w16cid:durableId="318047151">
    <w:abstractNumId w:val="1"/>
  </w:num>
  <w:num w:numId="3" w16cid:durableId="565726054">
    <w:abstractNumId w:val="2"/>
  </w:num>
  <w:num w:numId="4" w16cid:durableId="494490106">
    <w:abstractNumId w:val="3"/>
  </w:num>
  <w:num w:numId="5" w16cid:durableId="212692029">
    <w:abstractNumId w:val="4"/>
  </w:num>
  <w:num w:numId="6" w16cid:durableId="1194002042">
    <w:abstractNumId w:val="5"/>
  </w:num>
  <w:num w:numId="7" w16cid:durableId="2044593683">
    <w:abstractNumId w:val="6"/>
  </w:num>
  <w:num w:numId="8" w16cid:durableId="1958221628">
    <w:abstractNumId w:val="7"/>
  </w:num>
  <w:num w:numId="9" w16cid:durableId="1863857239">
    <w:abstractNumId w:val="8"/>
  </w:num>
  <w:num w:numId="10" w16cid:durableId="1472747337">
    <w:abstractNumId w:val="9"/>
  </w:num>
  <w:num w:numId="11" w16cid:durableId="762654164">
    <w:abstractNumId w:val="17"/>
  </w:num>
  <w:num w:numId="12" w16cid:durableId="745809147">
    <w:abstractNumId w:val="14"/>
  </w:num>
  <w:num w:numId="13" w16cid:durableId="567692230">
    <w:abstractNumId w:val="11"/>
  </w:num>
  <w:num w:numId="14" w16cid:durableId="1636369681">
    <w:abstractNumId w:val="16"/>
  </w:num>
  <w:num w:numId="15" w16cid:durableId="1862158442">
    <w:abstractNumId w:val="20"/>
  </w:num>
  <w:num w:numId="16" w16cid:durableId="449321245">
    <w:abstractNumId w:val="18"/>
  </w:num>
  <w:num w:numId="17" w16cid:durableId="384523506">
    <w:abstractNumId w:val="15"/>
  </w:num>
  <w:num w:numId="18" w16cid:durableId="1016809725">
    <w:abstractNumId w:val="13"/>
  </w:num>
  <w:num w:numId="19" w16cid:durableId="733545704">
    <w:abstractNumId w:val="10"/>
  </w:num>
  <w:num w:numId="20" w16cid:durableId="23101323">
    <w:abstractNumId w:val="12"/>
  </w:num>
  <w:num w:numId="21" w16cid:durableId="11487866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788"/>
    <w:rsid w:val="00002267"/>
    <w:rsid w:val="00023CFD"/>
    <w:rsid w:val="00040C7D"/>
    <w:rsid w:val="0006545B"/>
    <w:rsid w:val="0010151B"/>
    <w:rsid w:val="00147788"/>
    <w:rsid w:val="0018084E"/>
    <w:rsid w:val="001B7258"/>
    <w:rsid w:val="001C4E9E"/>
    <w:rsid w:val="002A39BC"/>
    <w:rsid w:val="002B38E9"/>
    <w:rsid w:val="002F6C4F"/>
    <w:rsid w:val="003C0D32"/>
    <w:rsid w:val="003F0298"/>
    <w:rsid w:val="0044676C"/>
    <w:rsid w:val="004629B7"/>
    <w:rsid w:val="00465AC0"/>
    <w:rsid w:val="004A0B69"/>
    <w:rsid w:val="005060E3"/>
    <w:rsid w:val="00516815"/>
    <w:rsid w:val="00552917"/>
    <w:rsid w:val="00574DDC"/>
    <w:rsid w:val="005C28E5"/>
    <w:rsid w:val="005D15AB"/>
    <w:rsid w:val="0062062D"/>
    <w:rsid w:val="00643434"/>
    <w:rsid w:val="00643EFA"/>
    <w:rsid w:val="00684770"/>
    <w:rsid w:val="00686DDC"/>
    <w:rsid w:val="006C49C0"/>
    <w:rsid w:val="006E0A30"/>
    <w:rsid w:val="0071690E"/>
    <w:rsid w:val="007508C5"/>
    <w:rsid w:val="0076008C"/>
    <w:rsid w:val="007A7082"/>
    <w:rsid w:val="007B2D41"/>
    <w:rsid w:val="007E0ED6"/>
    <w:rsid w:val="008078A9"/>
    <w:rsid w:val="00831BD8"/>
    <w:rsid w:val="00845182"/>
    <w:rsid w:val="00882DF9"/>
    <w:rsid w:val="008A7992"/>
    <w:rsid w:val="008B3561"/>
    <w:rsid w:val="008C4DBC"/>
    <w:rsid w:val="009121A9"/>
    <w:rsid w:val="0092378C"/>
    <w:rsid w:val="00946804"/>
    <w:rsid w:val="00971519"/>
    <w:rsid w:val="009A443D"/>
    <w:rsid w:val="009D6D0F"/>
    <w:rsid w:val="009E38AB"/>
    <w:rsid w:val="00A05604"/>
    <w:rsid w:val="00B045E5"/>
    <w:rsid w:val="00B808DD"/>
    <w:rsid w:val="00CA61F7"/>
    <w:rsid w:val="00CE4807"/>
    <w:rsid w:val="00D04711"/>
    <w:rsid w:val="00D97C1D"/>
    <w:rsid w:val="00DF6AE5"/>
    <w:rsid w:val="00E41D25"/>
    <w:rsid w:val="00E50FFE"/>
    <w:rsid w:val="00E723D0"/>
    <w:rsid w:val="00E97981"/>
    <w:rsid w:val="00EC2AEA"/>
    <w:rsid w:val="00F34641"/>
    <w:rsid w:val="00F443B0"/>
    <w:rsid w:val="00F62218"/>
    <w:rsid w:val="14D9F1BC"/>
    <w:rsid w:val="2DE133AF"/>
    <w:rsid w:val="639F6186"/>
    <w:rsid w:val="6C32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047D45"/>
  <w15:docId w15:val="{D52BC208-046C-4332-AD63-9FF871DB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ar-SA"/>
    </w:rPr>
  </w:style>
  <w:style w:type="paragraph" w:styleId="Heading2">
    <w:name w:val="heading 2"/>
    <w:basedOn w:val="Normal"/>
    <w:next w:val="Normal"/>
    <w:link w:val="Heading2Char"/>
    <w:qFormat/>
    <w:rsid w:val="00CA61F7"/>
    <w:pPr>
      <w:keepNext/>
      <w:suppressAutoHyphens w:val="0"/>
      <w:ind w:hanging="284"/>
      <w:outlineLvl w:val="1"/>
    </w:pPr>
    <w:rPr>
      <w:rFonts w:ascii="Arial" w:hAnsi="Arial"/>
      <w:b/>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alloonTextChar" w:customStyle="1">
    <w:name w:val="Balloon Text Char"/>
    <w:rPr>
      <w:rFonts w:ascii="Tahoma" w:hAnsi="Tahoma" w:cs="Tahoma"/>
      <w:sz w:val="16"/>
      <w:szCs w:val="16"/>
    </w:rPr>
  </w:style>
  <w:style w:type="character" w:styleId="Strong">
    <w:name w:val="Strong"/>
    <w:qFormat/>
    <w:rPr>
      <w:b/>
      <w:bCs/>
    </w:rPr>
  </w:style>
  <w:style w:type="paragraph" w:styleId="Heading" w:customStyle="1">
    <w:name w:val="Heading"/>
    <w:basedOn w:val="Normal"/>
    <w:next w:val="BodyText"/>
    <w:pPr>
      <w:keepNext/>
      <w:spacing w:before="240" w:after="120"/>
    </w:pPr>
    <w:rPr>
      <w:rFonts w:ascii="Arial" w:hAnsi="Arial" w:eastAsia="SimSun" w:cs="Tahoma"/>
      <w:sz w:val="28"/>
      <w:szCs w:val="28"/>
    </w:rPr>
  </w:style>
  <w:style w:type="paragraph" w:styleId="BodyText">
    <w:name w:val="Body Text"/>
    <w:basedOn w:val="Normal"/>
    <w:pPr>
      <w:autoSpaceDE w:val="0"/>
    </w:pPr>
    <w:rPr>
      <w:rFonts w:ascii="Arial" w:hAnsi="Arial" w:cs="Arial"/>
      <w:sz w:val="14"/>
      <w:szCs w:val="14"/>
      <w:lang w:val="en-U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styleId="Index" w:customStyle="1">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table" w:styleId="TableGrid">
    <w:name w:val="Table Grid"/>
    <w:basedOn w:val="TableNormal"/>
    <w:uiPriority w:val="59"/>
    <w:rsid w:val="00E41D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rsid w:val="00CA61F7"/>
    <w:rPr>
      <w:rFonts w:ascii="Arial" w:hAnsi="Arial"/>
      <w:b/>
      <w:sz w:val="24"/>
    </w:rPr>
  </w:style>
  <w:style w:type="paragraph" w:styleId="Header">
    <w:name w:val="header"/>
    <w:basedOn w:val="Normal"/>
    <w:link w:val="HeaderChar"/>
    <w:uiPriority w:val="99"/>
    <w:unhideWhenUsed/>
    <w:rsid w:val="00E723D0"/>
    <w:pPr>
      <w:tabs>
        <w:tab w:val="center" w:pos="4513"/>
        <w:tab w:val="right" w:pos="9026"/>
      </w:tabs>
    </w:pPr>
  </w:style>
  <w:style w:type="character" w:styleId="HeaderChar" w:customStyle="1">
    <w:name w:val="Header Char"/>
    <w:basedOn w:val="DefaultParagraphFont"/>
    <w:link w:val="Header"/>
    <w:uiPriority w:val="99"/>
    <w:rsid w:val="00E723D0"/>
    <w:rPr>
      <w:sz w:val="24"/>
      <w:szCs w:val="24"/>
      <w:lang w:eastAsia="ar-SA"/>
    </w:rPr>
  </w:style>
  <w:style w:type="paragraph" w:styleId="Footer">
    <w:name w:val="footer"/>
    <w:basedOn w:val="Normal"/>
    <w:link w:val="FooterChar"/>
    <w:uiPriority w:val="99"/>
    <w:unhideWhenUsed/>
    <w:rsid w:val="00E723D0"/>
    <w:pPr>
      <w:tabs>
        <w:tab w:val="center" w:pos="4513"/>
        <w:tab w:val="right" w:pos="9026"/>
      </w:tabs>
    </w:pPr>
  </w:style>
  <w:style w:type="character" w:styleId="FooterChar" w:customStyle="1">
    <w:name w:val="Footer Char"/>
    <w:basedOn w:val="DefaultParagraphFont"/>
    <w:link w:val="Footer"/>
    <w:uiPriority w:val="99"/>
    <w:rsid w:val="00E723D0"/>
    <w:rPr>
      <w:sz w:val="24"/>
      <w:szCs w:val="24"/>
      <w:lang w:eastAsia="ar-SA"/>
    </w:rPr>
  </w:style>
  <w:style w:type="paragraph" w:styleId="ListParagraph">
    <w:name w:val="List Paragraph"/>
    <w:basedOn w:val="Normal"/>
    <w:uiPriority w:val="34"/>
    <w:qFormat/>
    <w:rsid w:val="00E723D0"/>
    <w:pPr>
      <w:suppressAutoHyphens w:val="0"/>
      <w:spacing w:after="200" w:line="276" w:lineRule="auto"/>
      <w:ind w:left="720"/>
      <w:contextualSpacing/>
    </w:pPr>
    <w:rPr>
      <w:rFonts w:ascii="Calibri" w:hAnsi="Calibri" w:eastAsia="Calibri"/>
      <w:sz w:val="22"/>
      <w:szCs w:val="22"/>
      <w:lang w:eastAsia="en-US"/>
    </w:rPr>
  </w:style>
  <w:style w:type="character" w:styleId="Hyperlink">
    <w:name w:val="Hyperlink"/>
    <w:uiPriority w:val="99"/>
    <w:unhideWhenUsed/>
    <w:rsid w:val="00E723D0"/>
    <w:rPr>
      <w:color w:val="0000FF"/>
      <w:u w:val="single"/>
    </w:rPr>
  </w:style>
  <w:style w:type="table" w:styleId="LightList-Accent11" w:customStyle="1">
    <w:name w:val="Light List - Accent 11"/>
    <w:basedOn w:val="TableNormal"/>
    <w:next w:val="LightList-Accent1"/>
    <w:uiPriority w:val="61"/>
    <w:rsid w:val="002F6C4F"/>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1">
    <w:name w:val="Light List Accent 1"/>
    <w:basedOn w:val="TableNormal"/>
    <w:uiPriority w:val="61"/>
    <w:rsid w:val="002F6C4F"/>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8585">
      <w:bodyDiv w:val="1"/>
      <w:marLeft w:val="0"/>
      <w:marRight w:val="0"/>
      <w:marTop w:val="0"/>
      <w:marBottom w:val="0"/>
      <w:divBdr>
        <w:top w:val="none" w:sz="0" w:space="0" w:color="auto"/>
        <w:left w:val="none" w:sz="0" w:space="0" w:color="auto"/>
        <w:bottom w:val="none" w:sz="0" w:space="0" w:color="auto"/>
        <w:right w:val="none" w:sz="0" w:space="0" w:color="auto"/>
      </w:divBdr>
    </w:div>
    <w:div w:id="235360225">
      <w:bodyDiv w:val="1"/>
      <w:marLeft w:val="0"/>
      <w:marRight w:val="0"/>
      <w:marTop w:val="0"/>
      <w:marBottom w:val="0"/>
      <w:divBdr>
        <w:top w:val="none" w:sz="0" w:space="0" w:color="auto"/>
        <w:left w:val="none" w:sz="0" w:space="0" w:color="auto"/>
        <w:bottom w:val="none" w:sz="0" w:space="0" w:color="auto"/>
        <w:right w:val="none" w:sz="0" w:space="0" w:color="auto"/>
      </w:divBdr>
    </w:div>
    <w:div w:id="659891722">
      <w:bodyDiv w:val="1"/>
      <w:marLeft w:val="0"/>
      <w:marRight w:val="0"/>
      <w:marTop w:val="0"/>
      <w:marBottom w:val="0"/>
      <w:divBdr>
        <w:top w:val="none" w:sz="0" w:space="0" w:color="auto"/>
        <w:left w:val="none" w:sz="0" w:space="0" w:color="auto"/>
        <w:bottom w:val="none" w:sz="0" w:space="0" w:color="auto"/>
        <w:right w:val="none" w:sz="0" w:space="0" w:color="auto"/>
      </w:divBdr>
    </w:div>
    <w:div w:id="756362418">
      <w:bodyDiv w:val="1"/>
      <w:marLeft w:val="0"/>
      <w:marRight w:val="0"/>
      <w:marTop w:val="0"/>
      <w:marBottom w:val="0"/>
      <w:divBdr>
        <w:top w:val="none" w:sz="0" w:space="0" w:color="auto"/>
        <w:left w:val="none" w:sz="0" w:space="0" w:color="auto"/>
        <w:bottom w:val="none" w:sz="0" w:space="0" w:color="auto"/>
        <w:right w:val="none" w:sz="0" w:space="0" w:color="auto"/>
      </w:divBdr>
    </w:div>
    <w:div w:id="1018040043">
      <w:bodyDiv w:val="1"/>
      <w:marLeft w:val="0"/>
      <w:marRight w:val="0"/>
      <w:marTop w:val="0"/>
      <w:marBottom w:val="0"/>
      <w:divBdr>
        <w:top w:val="none" w:sz="0" w:space="0" w:color="auto"/>
        <w:left w:val="none" w:sz="0" w:space="0" w:color="auto"/>
        <w:bottom w:val="none" w:sz="0" w:space="0" w:color="auto"/>
        <w:right w:val="none" w:sz="0" w:space="0" w:color="auto"/>
      </w:divBdr>
    </w:div>
    <w:div w:id="1277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8DDC-DD24-4418-BCA9-E3ED58328C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 GRAYDON – SERVICE AGREEMENT</dc:title>
  <dc:creator>STA Graydon</dc:creator>
  <lastModifiedBy>Sam Cable</lastModifiedBy>
  <revision>16</revision>
  <lastPrinted>2016-03-10T14:39:00.0000000Z</lastPrinted>
  <dcterms:created xsi:type="dcterms:W3CDTF">2018-05-25T13:30:00.0000000Z</dcterms:created>
  <dcterms:modified xsi:type="dcterms:W3CDTF">2022-08-22T13:29:48.7855602Z</dcterms:modified>
</coreProperties>
</file>